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0BFC0">
      <w:pPr>
        <w:spacing w:line="480" w:lineRule="auto"/>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安江农校防雷</w:t>
      </w:r>
      <w:r>
        <w:rPr>
          <w:rFonts w:hint="eastAsia" w:ascii="方正小标宋简体" w:hAnsi="方正小标宋简体" w:eastAsia="方正小标宋简体" w:cs="方正小标宋简体"/>
          <w:sz w:val="44"/>
          <w:szCs w:val="44"/>
          <w:lang w:eastAsia="zh-CN"/>
        </w:rPr>
        <w:t>工程</w:t>
      </w:r>
    </w:p>
    <w:p w14:paraId="763A71E3">
      <w:pPr>
        <w:spacing w:line="480" w:lineRule="auto"/>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支出绩效自评报告</w:t>
      </w:r>
    </w:p>
    <w:p w14:paraId="3B2FFCB0">
      <w:pPr>
        <w:ind w:firstLine="720" w:firstLineChars="200"/>
        <w:jc w:val="right"/>
        <w:rPr>
          <w:rFonts w:hint="eastAsia" w:ascii="仿宋" w:hAnsi="仿宋" w:eastAsia="仿宋" w:cs="仿宋"/>
          <w:sz w:val="32"/>
          <w:szCs w:val="32"/>
        </w:rPr>
      </w:pPr>
      <w:r>
        <w:rPr>
          <w:rFonts w:hint="eastAsia" w:ascii="宋体" w:hAnsi="宋体"/>
          <w:sz w:val="36"/>
          <w:szCs w:val="36"/>
        </w:rPr>
        <w:t>--</w:t>
      </w:r>
      <w:r>
        <w:rPr>
          <w:rFonts w:hint="eastAsia" w:ascii="仿宋" w:hAnsi="仿宋" w:eastAsia="仿宋" w:cs="仿宋"/>
          <w:sz w:val="32"/>
          <w:szCs w:val="32"/>
        </w:rPr>
        <w:t xml:space="preserve"> </w:t>
      </w:r>
    </w:p>
    <w:p w14:paraId="3AFDC314">
      <w:pPr>
        <w:spacing w:line="620" w:lineRule="exact"/>
        <w:ind w:firstLine="643" w:firstLineChars="200"/>
        <w:rPr>
          <w:rFonts w:hint="eastAsia" w:ascii="黑体" w:hAnsi="黑体" w:eastAsia="黑体"/>
          <w:b/>
          <w:bCs/>
          <w:sz w:val="32"/>
          <w:szCs w:val="32"/>
        </w:rPr>
      </w:pPr>
      <w:r>
        <w:rPr>
          <w:rFonts w:hint="eastAsia" w:ascii="黑体" w:hAnsi="黑体" w:eastAsia="黑体"/>
          <w:b/>
          <w:bCs/>
          <w:sz w:val="32"/>
          <w:szCs w:val="32"/>
        </w:rPr>
        <w:t>一、项目基本情况</w:t>
      </w:r>
    </w:p>
    <w:p w14:paraId="3431B99F">
      <w:pPr>
        <w:spacing w:line="620" w:lineRule="exact"/>
        <w:ind w:firstLine="643" w:firstLineChars="200"/>
        <w:rPr>
          <w:rFonts w:ascii="黑体" w:hAnsi="黑体" w:eastAsia="黑体"/>
          <w:b/>
          <w:bCs/>
          <w:sz w:val="32"/>
          <w:szCs w:val="32"/>
        </w:rPr>
      </w:pPr>
      <w:r>
        <w:rPr>
          <w:rFonts w:hint="eastAsia" w:ascii="黑体" w:hAnsi="黑体" w:eastAsia="黑体"/>
          <w:b/>
          <w:bCs/>
          <w:sz w:val="32"/>
          <w:szCs w:val="32"/>
        </w:rPr>
        <w:t>（一）项目概况</w:t>
      </w:r>
    </w:p>
    <w:p w14:paraId="72AADD0E">
      <w:pPr>
        <w:pStyle w:val="12"/>
        <w:ind w:firstLine="640"/>
        <w:rPr>
          <w:rFonts w:ascii="仿宋" w:hAnsi="仿宋" w:eastAsia="仿宋" w:cs="黑体"/>
          <w:kern w:val="2"/>
          <w:szCs w:val="32"/>
        </w:rPr>
      </w:pPr>
      <w:r>
        <w:rPr>
          <w:rFonts w:hint="eastAsia" w:ascii="仿宋" w:hAnsi="仿宋" w:eastAsia="仿宋" w:cs="黑体"/>
          <w:kern w:val="2"/>
          <w:szCs w:val="32"/>
        </w:rPr>
        <w:t>1.项目决策背景</w:t>
      </w:r>
    </w:p>
    <w:p w14:paraId="1FEF4931">
      <w:pPr>
        <w:spacing w:line="480" w:lineRule="auto"/>
        <w:ind w:firstLine="960" w:firstLineChars="300"/>
        <w:rPr>
          <w:rFonts w:hint="eastAsia" w:ascii="仿宋" w:hAnsi="仿宋" w:eastAsia="仿宋"/>
          <w:sz w:val="32"/>
          <w:szCs w:val="32"/>
        </w:rPr>
      </w:pPr>
      <w:r>
        <w:rPr>
          <w:rFonts w:hint="eastAsia" w:ascii="仿宋" w:hAnsi="仿宋" w:eastAsia="仿宋"/>
          <w:sz w:val="32"/>
          <w:szCs w:val="32"/>
        </w:rPr>
        <w:t>安江农校纪念园是怀化职业技术学院的安江校区，被誉为“杂交水稻发源地”，中国工程院院士、共和国勋章获得者、杂交水稻之父袁隆平在此工作和生活37年，带领其科研团队成功发明杂交水稻，为解决人类的粮食短缺问题做出杰出贡献，是二十世纪中国科学发明与技术创新的成功典范。</w:t>
      </w:r>
    </w:p>
    <w:p w14:paraId="07582185">
      <w:pPr>
        <w:ind w:firstLine="640" w:firstLineChars="200"/>
        <w:rPr>
          <w:sz w:val="30"/>
          <w:szCs w:val="30"/>
        </w:rPr>
      </w:pPr>
      <w:r>
        <w:rPr>
          <w:rFonts w:hint="eastAsia" w:ascii="仿宋" w:hAnsi="仿宋" w:eastAsia="仿宋"/>
          <w:sz w:val="32"/>
          <w:szCs w:val="32"/>
        </w:rPr>
        <w:t>安江农校纪念园地处雪峰山脉安江盆地，园区属雷电多发区，雷劈古树事件多次发生对文物建筑造成严重破坏。2020年国家文物局同意实施安江农校杂交水稻纪念园防雷工程（湘文物督【2019】67号）。同年2月底湖南省文物局通过了</w:t>
      </w:r>
      <w:r>
        <w:rPr>
          <w:rFonts w:hint="eastAsia" w:ascii="仿宋" w:hAnsi="仿宋" w:eastAsia="仿宋"/>
          <w:sz w:val="32"/>
          <w:szCs w:val="32"/>
          <w:lang w:eastAsia="zh-CN"/>
        </w:rPr>
        <w:t>安江农校防雷工程</w:t>
      </w:r>
      <w:r>
        <w:rPr>
          <w:rFonts w:hint="eastAsia" w:ascii="仿宋" w:hAnsi="仿宋" w:eastAsia="仿宋"/>
          <w:sz w:val="32"/>
          <w:szCs w:val="32"/>
        </w:rPr>
        <w:t>工程设计方案。2021年8月湖南省文物局评审防雷项目预算控制数为585万元。2022年6月、9月湖南省财政厅分两次下拨</w:t>
      </w:r>
      <w:r>
        <w:rPr>
          <w:rFonts w:hint="eastAsia" w:ascii="仿宋" w:hAnsi="仿宋" w:eastAsia="仿宋"/>
          <w:sz w:val="32"/>
          <w:szCs w:val="32"/>
          <w:lang w:eastAsia="zh-CN"/>
        </w:rPr>
        <w:t>安江农校防雷工程</w:t>
      </w:r>
      <w:r>
        <w:rPr>
          <w:rFonts w:hint="eastAsia" w:ascii="仿宋" w:hAnsi="仿宋" w:eastAsia="仿宋"/>
          <w:sz w:val="32"/>
          <w:szCs w:val="32"/>
        </w:rPr>
        <w:t>专项补助经费351万元、87万元，2023年3月再次拨付147万元。2023年通过政府采购【怀财采计（202320176）】确定中科天际科技股份有限公司为供应商，中标金额为：3,225,680.68元，另聘请湖南匠怀项目管理有限公司为该项目监理单位。</w:t>
      </w:r>
    </w:p>
    <w:p w14:paraId="1D6AC99B">
      <w:pPr>
        <w:pStyle w:val="12"/>
        <w:ind w:firstLine="640"/>
        <w:rPr>
          <w:rFonts w:hint="eastAsia" w:ascii="仿宋" w:hAnsi="仿宋" w:eastAsia="仿宋" w:cs="黑体"/>
          <w:kern w:val="2"/>
          <w:szCs w:val="32"/>
        </w:rPr>
      </w:pPr>
      <w:r>
        <w:rPr>
          <w:rFonts w:hint="eastAsia" w:ascii="仿宋" w:hAnsi="仿宋" w:eastAsia="仿宋" w:cs="黑体"/>
          <w:kern w:val="2"/>
          <w:szCs w:val="32"/>
        </w:rPr>
        <w:t>2.项目主要内容</w:t>
      </w:r>
    </w:p>
    <w:p w14:paraId="24C5031F">
      <w:pPr>
        <w:widowControl/>
        <w:ind w:firstLine="640" w:firstLineChars="200"/>
        <w:jc w:val="left"/>
        <w:rPr>
          <w:rFonts w:hint="eastAsia" w:ascii="仿宋" w:hAnsi="仿宋" w:eastAsia="仿宋"/>
          <w:sz w:val="32"/>
          <w:szCs w:val="32"/>
        </w:rPr>
      </w:pPr>
      <w:r>
        <w:rPr>
          <w:rFonts w:hint="eastAsia" w:ascii="仿宋" w:hAnsi="仿宋" w:eastAsia="仿宋"/>
          <w:sz w:val="32"/>
          <w:szCs w:val="32"/>
        </w:rPr>
        <w:t>安江农校防雷</w:t>
      </w:r>
      <w:r>
        <w:rPr>
          <w:rFonts w:hint="eastAsia" w:ascii="仿宋" w:hAnsi="仿宋" w:eastAsia="仿宋"/>
          <w:sz w:val="32"/>
          <w:szCs w:val="32"/>
          <w:lang w:eastAsia="zh-CN"/>
        </w:rPr>
        <w:t>工程</w:t>
      </w:r>
      <w:r>
        <w:rPr>
          <w:rFonts w:hint="eastAsia" w:ascii="仿宋" w:hAnsi="仿宋" w:eastAsia="仿宋"/>
          <w:sz w:val="32"/>
          <w:szCs w:val="32"/>
        </w:rPr>
        <w:t>主要是在文物教学楼、教研楼等文物建筑正脊、垂脊、戗脊（岔脊）、檐口等易受雷击部位安装接闪带；古树接闪杆安装为主的方式；引下线两端应分别与接闪器和接地装置电气连接；安装防雷接地装置，建设完成后将有效保护纪念园园区内的文物建筑、古树名木、群众生命财产安全。</w:t>
      </w:r>
    </w:p>
    <w:p w14:paraId="14A2BDDC">
      <w:pPr>
        <w:pStyle w:val="12"/>
        <w:ind w:firstLine="640"/>
        <w:rPr>
          <w:rFonts w:hint="eastAsia" w:ascii="仿宋" w:hAnsi="仿宋" w:eastAsia="仿宋" w:cs="黑体"/>
          <w:kern w:val="2"/>
          <w:szCs w:val="32"/>
        </w:rPr>
      </w:pPr>
      <w:r>
        <w:rPr>
          <w:rFonts w:hint="eastAsia" w:ascii="仿宋" w:hAnsi="仿宋" w:eastAsia="仿宋" w:cs="黑体"/>
          <w:kern w:val="2"/>
          <w:szCs w:val="32"/>
        </w:rPr>
        <w:t>3.项目组织管理机构</w:t>
      </w:r>
    </w:p>
    <w:p w14:paraId="425A4DBB">
      <w:pPr>
        <w:widowControl/>
        <w:ind w:firstLine="640" w:firstLineChars="200"/>
        <w:jc w:val="left"/>
        <w:rPr>
          <w:rFonts w:hint="eastAsia" w:ascii="仿宋" w:hAnsi="仿宋" w:eastAsia="仿宋"/>
          <w:sz w:val="32"/>
          <w:szCs w:val="32"/>
        </w:rPr>
      </w:pPr>
      <w:r>
        <w:rPr>
          <w:rFonts w:hint="eastAsia" w:ascii="仿宋" w:hAnsi="仿宋" w:eastAsia="仿宋"/>
          <w:sz w:val="32"/>
          <w:szCs w:val="32"/>
        </w:rPr>
        <w:t>安江纪念园管理处</w:t>
      </w:r>
    </w:p>
    <w:p w14:paraId="1D64CA3D">
      <w:pPr>
        <w:spacing w:line="620" w:lineRule="exact"/>
        <w:ind w:firstLine="643" w:firstLineChars="200"/>
        <w:rPr>
          <w:rFonts w:ascii="黑体" w:hAnsi="黑体" w:eastAsia="黑体" w:cs="Times New Roman"/>
          <w:b/>
          <w:bCs/>
          <w:sz w:val="32"/>
          <w:szCs w:val="32"/>
        </w:rPr>
      </w:pPr>
      <w:r>
        <w:rPr>
          <w:rFonts w:hint="eastAsia" w:ascii="黑体" w:hAnsi="黑体" w:eastAsia="黑体" w:cs="楷体"/>
          <w:b/>
          <w:bCs/>
          <w:sz w:val="32"/>
          <w:szCs w:val="32"/>
        </w:rPr>
        <w:t>（二）</w:t>
      </w:r>
      <w:r>
        <w:rPr>
          <w:rFonts w:hint="eastAsia" w:ascii="黑体" w:hAnsi="黑体" w:eastAsia="黑体" w:cs="Times New Roman"/>
          <w:b/>
          <w:bCs/>
          <w:sz w:val="32"/>
          <w:szCs w:val="32"/>
        </w:rPr>
        <w:t>预算资金使用管理情况</w:t>
      </w:r>
    </w:p>
    <w:p w14:paraId="3EAF4EB1">
      <w:pPr>
        <w:spacing w:line="620" w:lineRule="exact"/>
        <w:ind w:firstLine="640" w:firstLineChars="200"/>
        <w:rPr>
          <w:rFonts w:hint="eastAsia" w:ascii="仿宋" w:hAnsi="仿宋" w:eastAsia="仿宋" w:cs="楷体"/>
          <w:sz w:val="32"/>
          <w:szCs w:val="32"/>
        </w:rPr>
      </w:pPr>
      <w:r>
        <w:rPr>
          <w:rFonts w:hint="eastAsia" w:ascii="仿宋" w:hAnsi="仿宋" w:eastAsia="仿宋" w:cs="楷体"/>
          <w:sz w:val="32"/>
          <w:szCs w:val="32"/>
        </w:rPr>
        <w:t>1.</w:t>
      </w:r>
      <w:r>
        <w:rPr>
          <w:rFonts w:hint="eastAsia" w:ascii="仿宋" w:hAnsi="仿宋" w:eastAsia="仿宋" w:cs="Times New Roman"/>
          <w:sz w:val="32"/>
          <w:szCs w:val="32"/>
        </w:rPr>
        <w:t>预算资金安排及管理情况</w:t>
      </w:r>
    </w:p>
    <w:p w14:paraId="666AAF8B">
      <w:pPr>
        <w:spacing w:line="620" w:lineRule="exact"/>
        <w:ind w:firstLine="640" w:firstLineChars="200"/>
        <w:rPr>
          <w:rFonts w:hint="eastAsia" w:ascii="仿宋" w:hAnsi="仿宋" w:eastAsia="仿宋" w:cs="楷体"/>
          <w:sz w:val="32"/>
          <w:szCs w:val="32"/>
        </w:rPr>
      </w:pPr>
      <w:r>
        <w:rPr>
          <w:rFonts w:hint="eastAsia" w:ascii="仿宋" w:hAnsi="仿宋" w:eastAsia="仿宋" w:cs="楷体"/>
          <w:sz w:val="32"/>
          <w:szCs w:val="32"/>
        </w:rPr>
        <w:t>（1）资金来源及拨付流程</w:t>
      </w:r>
    </w:p>
    <w:p w14:paraId="25DD6022">
      <w:pPr>
        <w:ind w:firstLine="640" w:firstLineChars="200"/>
        <w:rPr>
          <w:rFonts w:hint="eastAsia" w:ascii="仿宋" w:hAnsi="仿宋" w:eastAsia="仿宋"/>
          <w:sz w:val="32"/>
          <w:szCs w:val="32"/>
        </w:rPr>
      </w:pPr>
      <w:r>
        <w:rPr>
          <w:rFonts w:hint="eastAsia" w:ascii="仿宋" w:hAnsi="仿宋" w:eastAsia="仿宋"/>
          <w:sz w:val="32"/>
          <w:szCs w:val="32"/>
          <w:lang w:eastAsia="zh-CN"/>
        </w:rPr>
        <w:t>安江农校防雷工程</w:t>
      </w:r>
      <w:r>
        <w:rPr>
          <w:rFonts w:hint="eastAsia" w:ascii="仿宋" w:hAnsi="仿宋" w:eastAsia="仿宋"/>
          <w:sz w:val="32"/>
          <w:szCs w:val="32"/>
        </w:rPr>
        <w:t>专项资金由湖南省财政厅下拨，截至2023年12月，一共下拨三次，总计585万元。2022年2次，分别是351万元、87万元；2023年3月1次，147万元。</w:t>
      </w:r>
    </w:p>
    <w:p w14:paraId="38BDBCC3">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（2）资金到位情况</w:t>
      </w:r>
    </w:p>
    <w:p w14:paraId="61FF5875">
      <w:pPr>
        <w:spacing w:line="6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2023年2月3日结转2022年</w:t>
      </w:r>
      <w:r>
        <w:rPr>
          <w:rFonts w:hint="eastAsia" w:ascii="仿宋" w:hAnsi="仿宋" w:eastAsia="仿宋"/>
          <w:sz w:val="32"/>
          <w:szCs w:val="32"/>
          <w:lang w:eastAsia="zh-CN"/>
        </w:rPr>
        <w:t>安江农校防雷工程</w:t>
      </w:r>
      <w:r>
        <w:rPr>
          <w:rFonts w:hint="eastAsia" w:ascii="仿宋" w:hAnsi="仿宋" w:eastAsia="仿宋"/>
          <w:sz w:val="32"/>
          <w:szCs w:val="32"/>
        </w:rPr>
        <w:t>工程专项资金，涉及金额438万元。2023年3月财政下达当年防雷工程专项资金，金额147万元。</w:t>
      </w:r>
      <w:bookmarkStart w:id="1" w:name="_GoBack"/>
      <w:bookmarkEnd w:id="1"/>
      <w:r>
        <w:rPr>
          <w:rFonts w:hint="eastAsia" w:ascii="仿宋" w:hAnsi="仿宋" w:eastAsia="仿宋"/>
          <w:sz w:val="32"/>
          <w:szCs w:val="32"/>
          <w:lang w:val="en-US" w:eastAsia="zh-CN"/>
        </w:rPr>
        <w:t>7月31日，财政冻结资金</w:t>
      </w:r>
      <w:r>
        <w:rPr>
          <w:rFonts w:hint="default" w:ascii="仿宋" w:hAnsi="仿宋" w:eastAsia="仿宋"/>
          <w:sz w:val="32"/>
          <w:szCs w:val="32"/>
          <w:lang w:val="en-US" w:eastAsia="zh-CN"/>
        </w:rPr>
        <w:t>73</w:t>
      </w:r>
      <w:r>
        <w:rPr>
          <w:rFonts w:hint="eastAsia" w:ascii="仿宋" w:hAnsi="仿宋" w:eastAsia="仿宋"/>
          <w:sz w:val="32"/>
          <w:szCs w:val="32"/>
          <w:lang w:val="en-US" w:eastAsia="zh-CN"/>
        </w:rPr>
        <w:t>.</w:t>
      </w:r>
      <w:r>
        <w:rPr>
          <w:rFonts w:hint="default" w:ascii="仿宋" w:hAnsi="仿宋" w:eastAsia="仿宋"/>
          <w:sz w:val="32"/>
          <w:szCs w:val="32"/>
          <w:lang w:val="en-US" w:eastAsia="zh-CN"/>
        </w:rPr>
        <w:t>5</w:t>
      </w:r>
      <w:r>
        <w:rPr>
          <w:rFonts w:hint="eastAsia" w:ascii="仿宋" w:hAnsi="仿宋" w:eastAsia="仿宋"/>
          <w:sz w:val="32"/>
          <w:szCs w:val="32"/>
          <w:lang w:val="en-US" w:eastAsia="zh-CN"/>
        </w:rPr>
        <w:t>万元,实际到位资金511.5万元。</w:t>
      </w:r>
    </w:p>
    <w:p w14:paraId="1BF1759F">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（3）资金使用情况</w:t>
      </w:r>
    </w:p>
    <w:p w14:paraId="193A0492">
      <w:pPr>
        <w:spacing w:line="620" w:lineRule="exact"/>
        <w:ind w:firstLine="640" w:firstLineChars="200"/>
        <w:rPr>
          <w:rFonts w:hint="eastAsia" w:ascii="仿宋" w:hAnsi="仿宋" w:eastAsia="仿宋"/>
          <w:sz w:val="32"/>
          <w:szCs w:val="32"/>
        </w:rPr>
      </w:pPr>
      <w:r>
        <w:rPr>
          <w:rFonts w:hint="eastAsia" w:ascii="仿宋" w:hAnsi="仿宋" w:eastAsia="仿宋"/>
          <w:sz w:val="32"/>
          <w:szCs w:val="32"/>
        </w:rPr>
        <w:t>2023年度</w:t>
      </w:r>
      <w:r>
        <w:rPr>
          <w:rFonts w:hint="eastAsia" w:ascii="仿宋" w:hAnsi="仿宋" w:eastAsia="仿宋"/>
          <w:sz w:val="32"/>
          <w:szCs w:val="32"/>
          <w:lang w:eastAsia="zh-CN"/>
        </w:rPr>
        <w:t>安江农校防雷工程</w:t>
      </w:r>
      <w:r>
        <w:rPr>
          <w:rFonts w:hint="eastAsia" w:ascii="仿宋" w:hAnsi="仿宋" w:eastAsia="仿宋"/>
          <w:sz w:val="32"/>
          <w:szCs w:val="32"/>
        </w:rPr>
        <w:t>专项资金已使用</w:t>
      </w:r>
      <w:r>
        <w:rPr>
          <w:rFonts w:hint="eastAsia" w:ascii="仿宋" w:hAnsi="仿宋" w:eastAsia="仿宋"/>
          <w:sz w:val="32"/>
          <w:szCs w:val="32"/>
          <w:highlight w:val="none"/>
        </w:rPr>
        <w:t>1</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30</w:t>
      </w:r>
      <w:r>
        <w:rPr>
          <w:rFonts w:hint="eastAsia" w:ascii="仿宋" w:hAnsi="仿宋" w:eastAsia="仿宋"/>
          <w:sz w:val="32"/>
          <w:szCs w:val="32"/>
          <w:highlight w:val="none"/>
          <w:lang w:val="en-US" w:eastAsia="zh-CN"/>
        </w:rPr>
        <w:t>3,4</w:t>
      </w:r>
      <w:r>
        <w:rPr>
          <w:rFonts w:hint="eastAsia" w:ascii="仿宋" w:hAnsi="仿宋" w:eastAsia="仿宋"/>
          <w:sz w:val="32"/>
          <w:szCs w:val="32"/>
          <w:highlight w:val="none"/>
        </w:rPr>
        <w:t>88.87元，</w:t>
      </w:r>
      <w:r>
        <w:rPr>
          <w:rFonts w:hint="eastAsia" w:ascii="仿宋" w:hAnsi="仿宋" w:eastAsia="仿宋"/>
          <w:sz w:val="32"/>
          <w:szCs w:val="32"/>
        </w:rPr>
        <w:t>资金使用率</w:t>
      </w:r>
      <w:r>
        <w:rPr>
          <w:rFonts w:hint="eastAsia" w:ascii="仿宋" w:hAnsi="仿宋" w:eastAsia="仿宋"/>
          <w:sz w:val="32"/>
          <w:szCs w:val="32"/>
          <w:lang w:eastAsia="zh-CN"/>
        </w:rPr>
        <w:t>为</w:t>
      </w:r>
      <w:r>
        <w:rPr>
          <w:rFonts w:hint="eastAsia" w:ascii="仿宋" w:hAnsi="仿宋" w:eastAsia="仿宋"/>
          <w:sz w:val="32"/>
          <w:szCs w:val="32"/>
          <w:lang w:val="en-US" w:eastAsia="zh-CN"/>
        </w:rPr>
        <w:t>22.28</w:t>
      </w:r>
      <w:r>
        <w:rPr>
          <w:rFonts w:hint="eastAsia" w:ascii="仿宋" w:hAnsi="仿宋" w:eastAsia="仿宋"/>
          <w:sz w:val="32"/>
          <w:szCs w:val="32"/>
        </w:rPr>
        <w:t>%。</w:t>
      </w:r>
    </w:p>
    <w:p w14:paraId="61CE042B">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（4）资金管理制度及执行情况</w:t>
      </w:r>
    </w:p>
    <w:p w14:paraId="3782C920">
      <w:pPr>
        <w:rPr>
          <w:rFonts w:hint="default" w:ascii="仿宋" w:hAnsi="仿宋" w:eastAsia="仿宋"/>
          <w:sz w:val="32"/>
          <w:szCs w:val="32"/>
          <w:highlight w:val="yellow"/>
          <w:lang w:val="en-US" w:eastAsia="zh-CN"/>
        </w:rPr>
      </w:pPr>
      <w:r>
        <w:rPr>
          <w:rFonts w:hint="eastAsia"/>
          <w:sz w:val="30"/>
          <w:szCs w:val="30"/>
        </w:rPr>
        <w:t xml:space="preserve">    </w:t>
      </w:r>
      <w:r>
        <w:rPr>
          <w:rFonts w:hint="eastAsia" w:ascii="仿宋" w:hAnsi="仿宋" w:eastAsia="仿宋"/>
          <w:sz w:val="32"/>
          <w:szCs w:val="32"/>
        </w:rPr>
        <w:t>专项补助资金由怀化职业技术学院计划财务处负责资金管理拨付，2022年8月底纪念园启</w:t>
      </w:r>
      <w:r>
        <w:rPr>
          <w:rFonts w:hint="eastAsia" w:ascii="仿宋" w:hAnsi="仿宋" w:eastAsia="仿宋"/>
          <w:sz w:val="32"/>
          <w:szCs w:val="32"/>
          <w:highlight w:val="none"/>
        </w:rPr>
        <w:t>动该项目，委托湖南德信项目管理有限公司代理招标事宜</w:t>
      </w:r>
      <w:r>
        <w:rPr>
          <w:rFonts w:hint="eastAsia" w:ascii="仿宋" w:hAnsi="仿宋" w:eastAsia="仿宋"/>
          <w:sz w:val="32"/>
          <w:szCs w:val="32"/>
          <w:highlight w:val="none"/>
          <w:lang w:eastAsia="zh-CN"/>
        </w:rPr>
        <w:t>。</w:t>
      </w:r>
      <w:r>
        <w:rPr>
          <w:rFonts w:hint="eastAsia" w:ascii="仿宋" w:hAnsi="仿宋" w:eastAsia="仿宋"/>
          <w:sz w:val="32"/>
          <w:szCs w:val="32"/>
          <w:highlight w:val="none"/>
        </w:rPr>
        <w:t xml:space="preserve"> 2023年支付印刷费4</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880元，预付工程款1</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271</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829.11元，支付招标代理服务费25</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579.76元</w:t>
      </w:r>
      <w:r>
        <w:rPr>
          <w:rFonts w:hint="eastAsia" w:ascii="仿宋" w:hAnsi="仿宋" w:eastAsia="仿宋"/>
          <w:sz w:val="32"/>
          <w:szCs w:val="32"/>
          <w:highlight w:val="none"/>
          <w:lang w:eastAsia="zh-CN"/>
        </w:rPr>
        <w:t>、专家评审费</w:t>
      </w:r>
      <w:r>
        <w:rPr>
          <w:rFonts w:hint="eastAsia" w:ascii="仿宋" w:hAnsi="仿宋" w:eastAsia="仿宋"/>
          <w:sz w:val="32"/>
          <w:szCs w:val="32"/>
          <w:highlight w:val="none"/>
          <w:lang w:val="en-US" w:eastAsia="zh-CN"/>
        </w:rPr>
        <w:t>1,200元。</w:t>
      </w:r>
    </w:p>
    <w:p w14:paraId="2F6AB2DB">
      <w:pPr>
        <w:spacing w:line="620" w:lineRule="exact"/>
        <w:ind w:firstLine="640" w:firstLineChars="200"/>
        <w:rPr>
          <w:rFonts w:ascii="仿宋" w:hAnsi="仿宋" w:eastAsia="仿宋" w:cs="楷体"/>
          <w:sz w:val="32"/>
          <w:szCs w:val="32"/>
        </w:rPr>
      </w:pPr>
      <w:r>
        <w:rPr>
          <w:rFonts w:hint="eastAsia" w:ascii="仿宋" w:hAnsi="仿宋" w:eastAsia="仿宋" w:cs="楷体"/>
          <w:sz w:val="32"/>
          <w:szCs w:val="32"/>
        </w:rPr>
        <w:t>2.项目组织实施管理情况</w:t>
      </w:r>
    </w:p>
    <w:p w14:paraId="2B5C5A6B">
      <w:pPr>
        <w:pStyle w:val="5"/>
        <w:shd w:val="clear" w:color="auto" w:fill="FFFFFF"/>
        <w:spacing w:beforeAutospacing="0" w:afterAutospacing="0" w:line="560" w:lineRule="atLeast"/>
        <w:ind w:firstLine="640" w:firstLineChars="200"/>
        <w:rPr>
          <w:rFonts w:hint="eastAsia" w:ascii="仿宋" w:hAnsi="仿宋" w:eastAsia="仿宋" w:cs="黑体"/>
          <w:kern w:val="2"/>
          <w:sz w:val="32"/>
          <w:szCs w:val="32"/>
        </w:rPr>
      </w:pPr>
      <w:r>
        <w:rPr>
          <w:rFonts w:hint="eastAsia" w:ascii="仿宋" w:hAnsi="仿宋" w:eastAsia="仿宋" w:cs="黑体"/>
          <w:kern w:val="2"/>
          <w:sz w:val="32"/>
          <w:szCs w:val="32"/>
        </w:rPr>
        <w:t>经费按照怀化财政局专项资金管理办法结合怀化职业技术学院财务管理办法之规定，严格专项资金专项使用，在资金使用、审批、报账流程严格把关，让专项资金真正用到实处。</w:t>
      </w:r>
    </w:p>
    <w:p w14:paraId="11059311">
      <w:pPr>
        <w:spacing w:line="620" w:lineRule="exact"/>
        <w:ind w:firstLine="643" w:firstLineChars="200"/>
        <w:rPr>
          <w:rFonts w:ascii="黑体" w:hAnsi="黑体" w:eastAsia="黑体" w:cs="Times New Roman"/>
          <w:b/>
          <w:bCs/>
          <w:sz w:val="32"/>
          <w:szCs w:val="32"/>
        </w:rPr>
      </w:pPr>
      <w:r>
        <w:rPr>
          <w:rFonts w:hint="eastAsia" w:ascii="黑体" w:hAnsi="黑体" w:eastAsia="黑体" w:cs="楷体"/>
          <w:b/>
          <w:bCs/>
          <w:sz w:val="32"/>
          <w:szCs w:val="32"/>
        </w:rPr>
        <w:t>（三）</w:t>
      </w:r>
      <w:r>
        <w:rPr>
          <w:rFonts w:hint="eastAsia" w:ascii="黑体" w:hAnsi="黑体" w:eastAsia="黑体" w:cs="Times New Roman"/>
          <w:b/>
          <w:bCs/>
          <w:sz w:val="32"/>
          <w:szCs w:val="32"/>
        </w:rPr>
        <w:t>预算绩效目标情况</w:t>
      </w:r>
    </w:p>
    <w:p w14:paraId="1DE79EA3">
      <w:pPr>
        <w:spacing w:line="620" w:lineRule="exact"/>
        <w:ind w:firstLine="640" w:firstLineChars="200"/>
        <w:rPr>
          <w:rFonts w:ascii="仿宋" w:hAnsi="仿宋" w:eastAsia="仿宋" w:cs="楷体"/>
          <w:sz w:val="32"/>
          <w:szCs w:val="32"/>
        </w:rPr>
      </w:pPr>
      <w:r>
        <w:rPr>
          <w:rFonts w:hint="eastAsia" w:ascii="仿宋" w:hAnsi="仿宋" w:eastAsia="仿宋" w:cs="楷体"/>
          <w:sz w:val="32"/>
          <w:szCs w:val="32"/>
        </w:rPr>
        <w:t xml:space="preserve"> 1.绩效目标</w:t>
      </w:r>
    </w:p>
    <w:p w14:paraId="59BD942D">
      <w:pPr>
        <w:ind w:left="210"/>
        <w:rPr>
          <w:rFonts w:hint="eastAsia" w:ascii="仿宋" w:hAnsi="仿宋" w:eastAsia="仿宋"/>
          <w:sz w:val="32"/>
          <w:szCs w:val="32"/>
          <w:lang w:eastAsia="zh-CN"/>
        </w:rPr>
      </w:pPr>
      <w:r>
        <w:rPr>
          <w:rFonts w:hint="eastAsia"/>
          <w:sz w:val="30"/>
          <w:szCs w:val="30"/>
        </w:rPr>
        <w:t xml:space="preserve">   </w:t>
      </w:r>
      <w:r>
        <w:rPr>
          <w:rFonts w:hint="eastAsia" w:ascii="仿宋" w:hAnsi="仿宋" w:eastAsia="仿宋"/>
          <w:sz w:val="32"/>
          <w:szCs w:val="32"/>
          <w:highlight w:val="none"/>
        </w:rPr>
        <w:t>安江农校防雷工程</w:t>
      </w:r>
      <w:r>
        <w:rPr>
          <w:rFonts w:hint="eastAsia" w:ascii="仿宋" w:hAnsi="仿宋" w:eastAsia="仿宋"/>
          <w:sz w:val="32"/>
          <w:szCs w:val="32"/>
          <w:highlight w:val="none"/>
          <w:lang w:eastAsia="zh-CN"/>
        </w:rPr>
        <w:t>开工。</w:t>
      </w:r>
    </w:p>
    <w:p w14:paraId="58EA6EB1">
      <w:pPr>
        <w:spacing w:line="620" w:lineRule="exact"/>
        <w:ind w:firstLine="640" w:firstLineChars="200"/>
        <w:rPr>
          <w:rFonts w:hint="eastAsia" w:ascii="仿宋" w:hAnsi="仿宋" w:eastAsia="仿宋" w:cs="楷体"/>
          <w:sz w:val="32"/>
          <w:szCs w:val="32"/>
        </w:rPr>
      </w:pPr>
      <w:r>
        <w:rPr>
          <w:rFonts w:hint="eastAsia" w:ascii="仿宋" w:hAnsi="仿宋" w:eastAsia="仿宋" w:cs="楷体"/>
          <w:sz w:val="32"/>
          <w:szCs w:val="32"/>
        </w:rPr>
        <w:t xml:space="preserve"> 2.绩效指标</w:t>
      </w:r>
    </w:p>
    <w:p w14:paraId="34A56F2B">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（1）数量指标</w:t>
      </w:r>
    </w:p>
    <w:p w14:paraId="13A00835">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接闪装置25栋房屋，接地棒521米，古树引下接地系统</w:t>
      </w:r>
      <w:r>
        <w:rPr>
          <w:rFonts w:hint="eastAsia" w:ascii="仿宋" w:hAnsi="仿宋" w:eastAsia="仿宋" w:cs="仿宋"/>
          <w:sz w:val="32"/>
          <w:szCs w:val="32"/>
          <w:lang w:val="en-US" w:eastAsia="zh-CN"/>
        </w:rPr>
        <w:t>2</w:t>
      </w:r>
      <w:r>
        <w:rPr>
          <w:rFonts w:hint="eastAsia" w:ascii="仿宋" w:hAnsi="仿宋" w:eastAsia="仿宋" w:cs="仿宋"/>
          <w:sz w:val="32"/>
          <w:szCs w:val="32"/>
        </w:rPr>
        <w:t>套，自动升降接闪杆</w:t>
      </w:r>
      <w:r>
        <w:rPr>
          <w:rFonts w:hint="eastAsia" w:ascii="仿宋" w:hAnsi="仿宋" w:eastAsia="仿宋" w:cs="仿宋"/>
          <w:sz w:val="32"/>
          <w:szCs w:val="32"/>
          <w:lang w:val="en-US" w:eastAsia="zh-CN"/>
        </w:rPr>
        <w:t>2</w:t>
      </w:r>
      <w:r>
        <w:rPr>
          <w:rFonts w:hint="eastAsia" w:ascii="仿宋" w:hAnsi="仿宋" w:eastAsia="仿宋" w:cs="仿宋"/>
          <w:sz w:val="32"/>
          <w:szCs w:val="32"/>
        </w:rPr>
        <w:t>套，雷电预警系统</w:t>
      </w:r>
      <w:r>
        <w:rPr>
          <w:rFonts w:hint="eastAsia" w:ascii="仿宋" w:hAnsi="仿宋" w:eastAsia="仿宋" w:cs="仿宋"/>
          <w:sz w:val="32"/>
          <w:szCs w:val="32"/>
          <w:lang w:val="en-US" w:eastAsia="zh-CN"/>
        </w:rPr>
        <w:t>2套。</w:t>
      </w:r>
    </w:p>
    <w:p w14:paraId="14F7EAA0">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（2）质量指标</w:t>
      </w:r>
    </w:p>
    <w:p w14:paraId="05F0AE08">
      <w:pPr>
        <w:ind w:left="210" w:firstLine="640" w:firstLineChars="200"/>
        <w:rPr>
          <w:rFonts w:hint="eastAsia" w:ascii="仿宋" w:hAnsi="仿宋" w:eastAsia="仿宋"/>
          <w:sz w:val="32"/>
          <w:szCs w:val="32"/>
        </w:rPr>
      </w:pPr>
      <w:r>
        <w:rPr>
          <w:rFonts w:hint="eastAsia" w:ascii="仿宋" w:hAnsi="仿宋" w:eastAsia="仿宋"/>
          <w:sz w:val="32"/>
          <w:szCs w:val="32"/>
        </w:rPr>
        <w:t>紫铜棒合格率100%，绝缘铜绞线合格率100%，离子接地棒合格率100%。</w:t>
      </w:r>
    </w:p>
    <w:p w14:paraId="7D511B54">
      <w:pPr>
        <w:spacing w:line="62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（3）时效指标</w:t>
      </w:r>
    </w:p>
    <w:p w14:paraId="2B926F16">
      <w:pPr>
        <w:spacing w:line="6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项目开工时间；项目材料验收时间；进度款支付时间。</w:t>
      </w:r>
    </w:p>
    <w:p w14:paraId="2BBC655A">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（4）成本指标</w:t>
      </w:r>
    </w:p>
    <w:p w14:paraId="421AE079">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资金到位率；资金使用率；成本控制。</w:t>
      </w:r>
    </w:p>
    <w:p w14:paraId="226C218B">
      <w:pPr>
        <w:rPr>
          <w:rFonts w:ascii="黑体" w:hAnsi="黑体" w:eastAsia="黑体"/>
          <w:b/>
          <w:bCs/>
          <w:sz w:val="32"/>
          <w:szCs w:val="32"/>
        </w:rPr>
      </w:pPr>
      <w:r>
        <w:rPr>
          <w:rFonts w:hint="eastAsia" w:ascii="黑体" w:hAnsi="黑体" w:eastAsia="黑体"/>
          <w:b/>
          <w:bCs/>
          <w:sz w:val="32"/>
          <w:szCs w:val="32"/>
        </w:rPr>
        <w:t>二、绩效评价工作情况</w:t>
      </w:r>
    </w:p>
    <w:p w14:paraId="294F8B1E">
      <w:pPr>
        <w:rPr>
          <w:rFonts w:hint="eastAsia" w:ascii="黑体" w:hAnsi="黑体" w:eastAsia="黑体"/>
          <w:b/>
          <w:bCs/>
          <w:sz w:val="32"/>
          <w:szCs w:val="32"/>
        </w:rPr>
      </w:pPr>
      <w:r>
        <w:rPr>
          <w:rFonts w:hint="eastAsia" w:ascii="黑体" w:hAnsi="黑体" w:eastAsia="黑体"/>
          <w:b/>
          <w:bCs/>
          <w:sz w:val="32"/>
          <w:szCs w:val="32"/>
        </w:rPr>
        <w:t>（一）绩效评价目的</w:t>
      </w:r>
    </w:p>
    <w:p w14:paraId="6B98CB86">
      <w:pPr>
        <w:pStyle w:val="12"/>
        <w:ind w:firstLine="640"/>
        <w:rPr>
          <w:rFonts w:hint="eastAsia" w:ascii="仿宋" w:hAnsi="仿宋" w:eastAsia="仿宋" w:cs="仿宋"/>
          <w:kern w:val="2"/>
          <w:szCs w:val="32"/>
        </w:rPr>
      </w:pPr>
      <w:r>
        <w:rPr>
          <w:rFonts w:hint="eastAsia" w:ascii="仿宋" w:hAnsi="仿宋" w:eastAsia="仿宋" w:cs="仿宋"/>
          <w:kern w:val="2"/>
          <w:szCs w:val="32"/>
        </w:rPr>
        <w:t>考核资金支出效率及综合效果，及时总结经验，分析存在的问题和原因，切实采取有效措施进一步改进和加强财政资金管理，不断提高资金使用效率，为后续财政资金预算及使用提供依据。通过绩效评价，树立绩效管理理念，做好预算绩效管理，提高财政资金效益，优化财政支出结构。</w:t>
      </w:r>
    </w:p>
    <w:p w14:paraId="5FC4B469">
      <w:pPr>
        <w:rPr>
          <w:rFonts w:hint="eastAsia" w:ascii="黑体" w:hAnsi="黑体" w:eastAsia="黑体"/>
          <w:b/>
          <w:bCs/>
          <w:sz w:val="32"/>
          <w:szCs w:val="32"/>
        </w:rPr>
      </w:pPr>
      <w:r>
        <w:rPr>
          <w:rFonts w:hint="eastAsia" w:ascii="黑体" w:hAnsi="黑体" w:eastAsia="黑体"/>
          <w:b/>
          <w:bCs/>
          <w:sz w:val="32"/>
          <w:szCs w:val="32"/>
        </w:rPr>
        <w:t>（二）被评价单位、绩效评价范围与时段</w:t>
      </w:r>
    </w:p>
    <w:p w14:paraId="184A0D2B">
      <w:pPr>
        <w:widowControl/>
        <w:shd w:val="clear" w:color="auto" w:fill="FFFFFF"/>
        <w:ind w:firstLine="600"/>
        <w:rPr>
          <w:rFonts w:hint="eastAsia" w:ascii="仿宋" w:hAnsi="仿宋" w:eastAsia="仿宋" w:cs="仿宋"/>
          <w:sz w:val="32"/>
          <w:szCs w:val="32"/>
          <w:highlight w:val="none"/>
        </w:rPr>
      </w:pPr>
      <w:r>
        <w:rPr>
          <w:rFonts w:hint="eastAsia" w:ascii="仿宋" w:hAnsi="仿宋" w:eastAsia="仿宋" w:cs="仿宋"/>
          <w:sz w:val="32"/>
          <w:szCs w:val="32"/>
        </w:rPr>
        <w:t>被评价单位：安江纪</w:t>
      </w:r>
      <w:r>
        <w:rPr>
          <w:rFonts w:hint="eastAsia" w:ascii="仿宋" w:hAnsi="仿宋" w:eastAsia="仿宋" w:cs="仿宋"/>
          <w:sz w:val="32"/>
          <w:szCs w:val="32"/>
          <w:highlight w:val="none"/>
        </w:rPr>
        <w:t>念园管理处</w:t>
      </w:r>
    </w:p>
    <w:p w14:paraId="6BE7E91C">
      <w:pPr>
        <w:widowControl/>
        <w:shd w:val="clear" w:color="auto" w:fill="FFFFFF"/>
        <w:ind w:firstLine="600"/>
        <w:rPr>
          <w:rFonts w:hint="eastAsia" w:ascii="仿宋" w:hAnsi="仿宋" w:eastAsia="仿宋" w:cs="仿宋"/>
          <w:sz w:val="32"/>
          <w:szCs w:val="32"/>
        </w:rPr>
      </w:pPr>
      <w:r>
        <w:rPr>
          <w:rFonts w:hint="eastAsia" w:ascii="仿宋" w:hAnsi="仿宋" w:eastAsia="仿宋" w:cs="仿宋"/>
          <w:sz w:val="32"/>
          <w:szCs w:val="32"/>
          <w:highlight w:val="none"/>
        </w:rPr>
        <w:t>绩效评价范围与时段：</w:t>
      </w:r>
      <w:r>
        <w:rPr>
          <w:rFonts w:ascii="仿宋" w:hAnsi="仿宋" w:eastAsia="仿宋" w:cs="仿宋"/>
          <w:sz w:val="32"/>
          <w:szCs w:val="32"/>
          <w:highlight w:val="none"/>
        </w:rPr>
        <w:t>202</w:t>
      </w:r>
      <w:r>
        <w:rPr>
          <w:rFonts w:hint="eastAsia" w:ascii="仿宋" w:hAnsi="仿宋" w:eastAsia="仿宋" w:cs="仿宋"/>
          <w:sz w:val="32"/>
          <w:szCs w:val="32"/>
          <w:highlight w:val="none"/>
        </w:rPr>
        <w:t>3年</w:t>
      </w:r>
      <w:r>
        <w:rPr>
          <w:rFonts w:hint="eastAsia" w:ascii="仿宋" w:hAnsi="仿宋" w:eastAsia="仿宋" w:cs="仿宋"/>
          <w:sz w:val="32"/>
          <w:szCs w:val="32"/>
          <w:highlight w:val="none"/>
          <w:lang w:eastAsia="zh-CN"/>
        </w:rPr>
        <w:t>安江农校防雷工程</w:t>
      </w:r>
      <w:r>
        <w:rPr>
          <w:rFonts w:hint="eastAsia" w:ascii="仿宋" w:hAnsi="仿宋" w:eastAsia="仿宋" w:cs="仿宋"/>
          <w:sz w:val="32"/>
          <w:szCs w:val="32"/>
          <w:highlight w:val="none"/>
          <w:lang w:val="en-US" w:eastAsia="zh-CN"/>
        </w:rPr>
        <w:t>585</w:t>
      </w:r>
      <w:r>
        <w:rPr>
          <w:rFonts w:hint="eastAsia" w:ascii="仿宋" w:hAnsi="仿宋" w:eastAsia="仿宋" w:cs="仿宋"/>
          <w:sz w:val="32"/>
          <w:szCs w:val="32"/>
          <w:highlight w:val="none"/>
        </w:rPr>
        <w:t>万元，项目各项计划指标完成</w:t>
      </w:r>
      <w:r>
        <w:rPr>
          <w:rFonts w:hint="eastAsia" w:ascii="仿宋" w:hAnsi="仿宋" w:eastAsia="仿宋" w:cs="仿宋"/>
          <w:sz w:val="32"/>
          <w:szCs w:val="32"/>
        </w:rPr>
        <w:t>情况和年度资金使用情况。</w:t>
      </w:r>
    </w:p>
    <w:p w14:paraId="3AE6C3BE">
      <w:pPr>
        <w:rPr>
          <w:rFonts w:hint="eastAsia" w:ascii="黑体" w:hAnsi="黑体" w:eastAsia="黑体"/>
          <w:b/>
          <w:bCs/>
          <w:sz w:val="32"/>
          <w:szCs w:val="32"/>
        </w:rPr>
      </w:pPr>
      <w:r>
        <w:rPr>
          <w:rFonts w:hint="eastAsia" w:ascii="黑体" w:hAnsi="黑体" w:eastAsia="黑体"/>
          <w:b/>
          <w:bCs/>
          <w:sz w:val="32"/>
          <w:szCs w:val="32"/>
        </w:rPr>
        <w:t>（三）绩效评价原则、评价指标体系、评价方法</w:t>
      </w:r>
    </w:p>
    <w:p w14:paraId="41F03181">
      <w:pPr>
        <w:spacing w:line="620" w:lineRule="exact"/>
        <w:ind w:firstLine="640" w:firstLineChars="200"/>
        <w:rPr>
          <w:rFonts w:hint="eastAsia" w:ascii="仿宋" w:hAnsi="仿宋" w:eastAsia="仿宋" w:cs="楷体"/>
          <w:sz w:val="32"/>
          <w:szCs w:val="32"/>
        </w:rPr>
      </w:pPr>
      <w:r>
        <w:rPr>
          <w:rFonts w:hint="eastAsia" w:ascii="仿宋" w:hAnsi="仿宋" w:eastAsia="仿宋" w:cs="楷体"/>
          <w:sz w:val="32"/>
          <w:szCs w:val="32"/>
        </w:rPr>
        <w:t>1．绩效评价原则</w:t>
      </w:r>
    </w:p>
    <w:p w14:paraId="36A807C4">
      <w:pPr>
        <w:widowControl/>
        <w:shd w:val="clear" w:color="auto" w:fill="FFFFFF"/>
        <w:ind w:firstLine="600"/>
        <w:rPr>
          <w:rFonts w:ascii="Times New Roman" w:hAnsi="Times New Roman" w:cs="Times New Roman"/>
          <w:color w:val="333333"/>
          <w:kern w:val="0"/>
          <w:sz w:val="32"/>
          <w:szCs w:val="32"/>
        </w:rPr>
      </w:pPr>
      <w:r>
        <w:rPr>
          <w:rFonts w:hint="eastAsia" w:ascii="仿宋" w:hAnsi="仿宋" w:eastAsia="仿宋" w:cs="Times New Roman"/>
          <w:color w:val="333333"/>
          <w:kern w:val="0"/>
          <w:sz w:val="32"/>
          <w:szCs w:val="32"/>
        </w:rPr>
        <w:t>（</w:t>
      </w:r>
      <w:r>
        <w:rPr>
          <w:rFonts w:ascii="Times New Roman" w:hAnsi="Times New Roman" w:cs="Times New Roman"/>
          <w:color w:val="333333"/>
          <w:kern w:val="0"/>
          <w:sz w:val="32"/>
          <w:szCs w:val="32"/>
        </w:rPr>
        <w:t>1</w:t>
      </w:r>
      <w:r>
        <w:rPr>
          <w:rFonts w:hint="eastAsia" w:ascii="仿宋" w:hAnsi="仿宋" w:eastAsia="仿宋" w:cs="Times New Roman"/>
          <w:color w:val="333333"/>
          <w:kern w:val="0"/>
          <w:sz w:val="32"/>
          <w:szCs w:val="32"/>
        </w:rPr>
        <w:t>）科学规范原则。绩效评价应当严格执行规定的程序，按照科学可行的要求，采用定量与定性分析相结合的方法。</w:t>
      </w:r>
    </w:p>
    <w:p w14:paraId="673EC53D">
      <w:pPr>
        <w:widowControl/>
        <w:shd w:val="clear" w:color="auto" w:fill="FFFFFF"/>
        <w:ind w:firstLine="600"/>
        <w:rPr>
          <w:rFonts w:ascii="Times New Roman" w:hAnsi="Times New Roman" w:cs="Times New Roman"/>
          <w:color w:val="333333"/>
          <w:kern w:val="0"/>
          <w:sz w:val="32"/>
          <w:szCs w:val="32"/>
        </w:rPr>
      </w:pPr>
      <w:r>
        <w:rPr>
          <w:rFonts w:hint="eastAsia" w:ascii="仿宋" w:hAnsi="仿宋" w:eastAsia="仿宋" w:cs="Times New Roman"/>
          <w:color w:val="333333"/>
          <w:kern w:val="0"/>
          <w:sz w:val="32"/>
          <w:szCs w:val="32"/>
        </w:rPr>
        <w:t>（</w:t>
      </w:r>
      <w:r>
        <w:rPr>
          <w:rFonts w:ascii="Times New Roman" w:hAnsi="Times New Roman" w:cs="Times New Roman"/>
          <w:color w:val="333333"/>
          <w:kern w:val="0"/>
          <w:sz w:val="32"/>
          <w:szCs w:val="32"/>
        </w:rPr>
        <w:t>2</w:t>
      </w:r>
      <w:r>
        <w:rPr>
          <w:rFonts w:hint="eastAsia" w:ascii="仿宋" w:hAnsi="仿宋" w:eastAsia="仿宋" w:cs="Times New Roman"/>
          <w:color w:val="333333"/>
          <w:kern w:val="0"/>
          <w:sz w:val="32"/>
          <w:szCs w:val="32"/>
        </w:rPr>
        <w:t>）公正公开原则。绩效评价应当符合真实、客观、公正的要求，依法公开并接受监督。</w:t>
      </w:r>
    </w:p>
    <w:p w14:paraId="6E21A999">
      <w:pPr>
        <w:widowControl/>
        <w:shd w:val="clear" w:color="auto" w:fill="FFFFFF"/>
        <w:ind w:firstLine="600"/>
        <w:rPr>
          <w:rFonts w:ascii="Times New Roman" w:hAnsi="Times New Roman" w:cs="Times New Roman"/>
          <w:color w:val="333333"/>
          <w:kern w:val="0"/>
          <w:sz w:val="32"/>
          <w:szCs w:val="32"/>
        </w:rPr>
      </w:pPr>
      <w:r>
        <w:rPr>
          <w:rFonts w:hint="eastAsia" w:ascii="仿宋" w:hAnsi="仿宋" w:eastAsia="仿宋" w:cs="Times New Roman"/>
          <w:color w:val="333333"/>
          <w:kern w:val="0"/>
          <w:sz w:val="32"/>
          <w:szCs w:val="32"/>
        </w:rPr>
        <w:t>（</w:t>
      </w:r>
      <w:r>
        <w:rPr>
          <w:rFonts w:ascii="Times New Roman" w:hAnsi="Times New Roman" w:cs="Times New Roman"/>
          <w:color w:val="333333"/>
          <w:kern w:val="0"/>
          <w:sz w:val="32"/>
          <w:szCs w:val="32"/>
        </w:rPr>
        <w:t>3</w:t>
      </w:r>
      <w:r>
        <w:rPr>
          <w:rFonts w:hint="eastAsia" w:ascii="仿宋" w:hAnsi="仿宋" w:eastAsia="仿宋" w:cs="Times New Roman"/>
          <w:color w:val="333333"/>
          <w:kern w:val="0"/>
          <w:sz w:val="32"/>
          <w:szCs w:val="32"/>
        </w:rPr>
        <w:t>）绩效相关原则。绩效评价应当针对具体支出及其产出绩效进行，评价结果应当清晰反映支出和产出绩效之间的紧密对应关系。</w:t>
      </w:r>
    </w:p>
    <w:p w14:paraId="1C7436C3">
      <w:pPr>
        <w:spacing w:line="620" w:lineRule="exact"/>
        <w:ind w:firstLine="640" w:firstLineChars="200"/>
        <w:rPr>
          <w:rFonts w:hint="eastAsia" w:ascii="仿宋" w:hAnsi="仿宋" w:eastAsia="仿宋" w:cs="楷体"/>
          <w:sz w:val="32"/>
          <w:szCs w:val="32"/>
        </w:rPr>
      </w:pPr>
      <w:r>
        <w:rPr>
          <w:rFonts w:hint="eastAsia" w:ascii="仿宋" w:hAnsi="仿宋" w:eastAsia="仿宋" w:cs="楷体"/>
          <w:sz w:val="32"/>
          <w:szCs w:val="32"/>
        </w:rPr>
        <w:t>2．绩效评价指标体系</w:t>
      </w:r>
    </w:p>
    <w:p w14:paraId="3165AB23">
      <w:pPr>
        <w:widowControl/>
        <w:shd w:val="clear" w:color="auto" w:fill="FFFFFF"/>
        <w:ind w:firstLine="640"/>
        <w:rPr>
          <w:rFonts w:hint="eastAsia" w:ascii="仿宋" w:hAnsi="仿宋" w:eastAsia="仿宋" w:cs="Times New Roman"/>
          <w:color w:val="333333"/>
          <w:kern w:val="0"/>
          <w:sz w:val="32"/>
          <w:szCs w:val="32"/>
        </w:rPr>
      </w:pPr>
      <w:r>
        <w:rPr>
          <w:rFonts w:hint="eastAsia" w:ascii="仿宋" w:hAnsi="仿宋" w:eastAsia="仿宋" w:cs="Times New Roman"/>
          <w:color w:val="333333"/>
          <w:kern w:val="0"/>
          <w:sz w:val="32"/>
          <w:szCs w:val="32"/>
        </w:rPr>
        <w:t>评价指标体系根据绩效评价的基本原理、原则和项目特点，结合《项目支出绩效评价管理办法》、</w:t>
      </w:r>
      <w:r>
        <w:rPr>
          <w:rFonts w:ascii="仿宋" w:hAnsi="仿宋" w:eastAsia="仿宋" w:cs="Times New Roman"/>
          <w:color w:val="333333"/>
          <w:kern w:val="0"/>
          <w:sz w:val="32"/>
          <w:szCs w:val="32"/>
        </w:rPr>
        <w:t>《湖南省预算支出绩效评价管理办法》</w:t>
      </w:r>
      <w:r>
        <w:rPr>
          <w:rFonts w:hint="eastAsia" w:ascii="仿宋" w:hAnsi="仿宋" w:eastAsia="仿宋" w:cs="Times New Roman"/>
          <w:color w:val="333333"/>
          <w:kern w:val="0"/>
          <w:sz w:val="32"/>
          <w:szCs w:val="32"/>
        </w:rPr>
        <w:t>、安江纪念园</w:t>
      </w:r>
      <w:r>
        <w:rPr>
          <w:rFonts w:hint="eastAsia" w:ascii="仿宋" w:hAnsi="仿宋" w:eastAsia="仿宋" w:cs="Times New Roman"/>
          <w:color w:val="333333"/>
          <w:kern w:val="0"/>
          <w:sz w:val="32"/>
          <w:szCs w:val="32"/>
          <w:lang w:eastAsia="zh-CN"/>
        </w:rPr>
        <w:t>管理处</w:t>
      </w:r>
      <w:r>
        <w:rPr>
          <w:rFonts w:hint="eastAsia" w:ascii="仿宋" w:hAnsi="仿宋" w:eastAsia="仿宋" w:cs="Times New Roman"/>
          <w:color w:val="333333"/>
          <w:kern w:val="0"/>
          <w:sz w:val="32"/>
          <w:szCs w:val="32"/>
        </w:rPr>
        <w:t>工作职责等有关要求设置，本次绩效评价指标体系分别从预算执行率、产出指标、效益指标、满意度指标等多个方面对其财政支出进行评价，详见附件1：</w:t>
      </w:r>
    </w:p>
    <w:p w14:paraId="24631E74">
      <w:pPr>
        <w:spacing w:line="620" w:lineRule="exact"/>
        <w:ind w:firstLine="640" w:firstLineChars="200"/>
        <w:rPr>
          <w:rFonts w:hint="eastAsia" w:ascii="仿宋" w:hAnsi="仿宋" w:eastAsia="仿宋" w:cs="楷体"/>
          <w:sz w:val="32"/>
          <w:szCs w:val="32"/>
        </w:rPr>
      </w:pPr>
      <w:r>
        <w:rPr>
          <w:rFonts w:hint="eastAsia" w:ascii="仿宋" w:hAnsi="仿宋" w:eastAsia="仿宋" w:cs="楷体"/>
          <w:sz w:val="32"/>
          <w:szCs w:val="32"/>
        </w:rPr>
        <w:t>3．评价方法</w:t>
      </w:r>
    </w:p>
    <w:p w14:paraId="09941F96">
      <w:pPr>
        <w:widowControl/>
        <w:shd w:val="clear" w:color="auto" w:fill="FFFFFF"/>
        <w:ind w:firstLine="640"/>
        <w:rPr>
          <w:rFonts w:hint="eastAsia" w:ascii="仿宋" w:hAnsi="仿宋" w:eastAsia="仿宋" w:cs="Times New Roman"/>
          <w:color w:val="333333"/>
          <w:kern w:val="0"/>
          <w:sz w:val="32"/>
          <w:szCs w:val="32"/>
        </w:rPr>
      </w:pPr>
      <w:r>
        <w:rPr>
          <w:rFonts w:hint="eastAsia" w:ascii="仿宋" w:hAnsi="仿宋" w:eastAsia="仿宋" w:cs="Times New Roman"/>
          <w:color w:val="333333"/>
          <w:kern w:val="0"/>
          <w:sz w:val="32"/>
          <w:szCs w:val="32"/>
        </w:rPr>
        <w:t>评价方法采用数据分析、座谈、询问查证等。</w:t>
      </w:r>
    </w:p>
    <w:p w14:paraId="128C6FFF">
      <w:pPr>
        <w:spacing w:line="600" w:lineRule="exact"/>
        <w:ind w:firstLine="643" w:firstLineChars="200"/>
        <w:rPr>
          <w:rFonts w:eastAsia="黑体"/>
          <w:b/>
          <w:bCs/>
          <w:sz w:val="32"/>
          <w:szCs w:val="32"/>
        </w:rPr>
      </w:pPr>
      <w:r>
        <w:rPr>
          <w:rFonts w:hint="eastAsia" w:eastAsia="黑体"/>
          <w:b/>
          <w:bCs/>
          <w:sz w:val="32"/>
          <w:szCs w:val="32"/>
        </w:rPr>
        <w:t>三、主要绩效及评价结论</w:t>
      </w:r>
    </w:p>
    <w:p w14:paraId="30B14D73">
      <w:pPr>
        <w:spacing w:line="600" w:lineRule="exact"/>
        <w:ind w:firstLine="643" w:firstLineChars="200"/>
        <w:rPr>
          <w:rFonts w:hint="eastAsia" w:eastAsia="黑体"/>
          <w:b/>
          <w:bCs/>
          <w:sz w:val="32"/>
          <w:szCs w:val="32"/>
        </w:rPr>
      </w:pPr>
      <w:r>
        <w:rPr>
          <w:rFonts w:hint="eastAsia" w:eastAsia="黑体"/>
          <w:b/>
          <w:bCs/>
          <w:sz w:val="32"/>
          <w:szCs w:val="32"/>
        </w:rPr>
        <w:t>（一）社会效益</w:t>
      </w:r>
    </w:p>
    <w:p w14:paraId="1CF4F704">
      <w:pPr>
        <w:spacing w:line="6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园区安全率</w:t>
      </w:r>
      <w:r>
        <w:rPr>
          <w:rFonts w:hint="eastAsia" w:ascii="仿宋" w:hAnsi="仿宋" w:eastAsia="仿宋" w:cs="仿宋"/>
          <w:sz w:val="32"/>
          <w:szCs w:val="32"/>
          <w:lang w:eastAsia="zh-CN"/>
        </w:rPr>
        <w:t>。</w:t>
      </w:r>
    </w:p>
    <w:p w14:paraId="7CB51DCE">
      <w:pPr>
        <w:spacing w:line="600" w:lineRule="exact"/>
        <w:ind w:firstLine="643" w:firstLineChars="200"/>
        <w:rPr>
          <w:rFonts w:hint="eastAsia" w:eastAsia="黑体"/>
          <w:b/>
          <w:bCs/>
          <w:sz w:val="32"/>
          <w:szCs w:val="32"/>
        </w:rPr>
      </w:pPr>
      <w:r>
        <w:rPr>
          <w:rFonts w:hint="eastAsia" w:eastAsia="黑体"/>
          <w:b/>
          <w:bCs/>
          <w:sz w:val="32"/>
          <w:szCs w:val="32"/>
        </w:rPr>
        <w:t>（二）生态效益</w:t>
      </w:r>
    </w:p>
    <w:p w14:paraId="4B45615F">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不影响环境风貌。</w:t>
      </w:r>
    </w:p>
    <w:p w14:paraId="3FB544F7">
      <w:pPr>
        <w:spacing w:line="600" w:lineRule="exact"/>
        <w:ind w:firstLine="643" w:firstLineChars="200"/>
        <w:rPr>
          <w:rFonts w:hint="eastAsia" w:eastAsia="黑体"/>
          <w:b/>
          <w:bCs/>
          <w:sz w:val="32"/>
          <w:szCs w:val="32"/>
        </w:rPr>
      </w:pPr>
      <w:r>
        <w:rPr>
          <w:rFonts w:hint="eastAsia" w:eastAsia="黑体"/>
          <w:b/>
          <w:bCs/>
          <w:sz w:val="32"/>
          <w:szCs w:val="32"/>
        </w:rPr>
        <w:t>（三）可持续影响</w:t>
      </w:r>
    </w:p>
    <w:p w14:paraId="28238E33">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提高社会影响力。</w:t>
      </w:r>
    </w:p>
    <w:p w14:paraId="77130587">
      <w:pPr>
        <w:spacing w:line="600" w:lineRule="exact"/>
        <w:ind w:firstLine="643" w:firstLineChars="200"/>
        <w:rPr>
          <w:rFonts w:hint="eastAsia" w:eastAsia="黑体"/>
          <w:b/>
          <w:bCs/>
          <w:sz w:val="32"/>
          <w:szCs w:val="32"/>
        </w:rPr>
      </w:pPr>
      <w:r>
        <w:rPr>
          <w:rFonts w:hint="eastAsia" w:eastAsia="黑体"/>
          <w:b/>
          <w:bCs/>
          <w:sz w:val="32"/>
          <w:szCs w:val="32"/>
        </w:rPr>
        <w:t>（四）满意度情况</w:t>
      </w:r>
    </w:p>
    <w:p w14:paraId="2FC8056E">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参观游客满意度，建设单位满意度。</w:t>
      </w:r>
    </w:p>
    <w:p w14:paraId="27850A54">
      <w:pPr>
        <w:spacing w:line="600" w:lineRule="exact"/>
        <w:ind w:firstLine="643" w:firstLineChars="200"/>
        <w:rPr>
          <w:rFonts w:hint="eastAsia" w:eastAsia="黑体"/>
          <w:b/>
          <w:bCs/>
          <w:sz w:val="32"/>
          <w:szCs w:val="32"/>
        </w:rPr>
      </w:pPr>
      <w:r>
        <w:rPr>
          <w:rFonts w:hint="eastAsia" w:eastAsia="黑体"/>
          <w:b/>
          <w:bCs/>
          <w:sz w:val="32"/>
          <w:szCs w:val="32"/>
        </w:rPr>
        <w:t>（五）评价结论</w:t>
      </w:r>
    </w:p>
    <w:p w14:paraId="7F57580C">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经自评，本次评价总分100分，自评得分</w:t>
      </w:r>
      <w:r>
        <w:rPr>
          <w:rFonts w:hint="eastAsia" w:ascii="仿宋" w:hAnsi="仿宋" w:eastAsia="仿宋" w:cs="仿宋"/>
          <w:sz w:val="32"/>
          <w:szCs w:val="32"/>
          <w:highlight w:val="none"/>
          <w:lang w:val="en-US" w:eastAsia="zh-CN"/>
        </w:rPr>
        <w:t>83.23</w:t>
      </w:r>
      <w:r>
        <w:rPr>
          <w:rFonts w:hint="eastAsia" w:ascii="仿宋" w:hAnsi="仿宋" w:eastAsia="仿宋" w:cs="仿宋"/>
          <w:sz w:val="32"/>
          <w:szCs w:val="32"/>
          <w:highlight w:val="none"/>
        </w:rPr>
        <w:t>，评价等级为</w:t>
      </w:r>
      <w:r>
        <w:rPr>
          <w:rFonts w:hint="eastAsia" w:ascii="仿宋" w:hAnsi="仿宋" w:eastAsia="仿宋" w:cs="仿宋"/>
          <w:sz w:val="32"/>
          <w:szCs w:val="32"/>
          <w:highlight w:val="none"/>
          <w:lang w:eastAsia="zh-CN"/>
        </w:rPr>
        <w:t>良</w:t>
      </w:r>
      <w:r>
        <w:rPr>
          <w:rFonts w:hint="eastAsia" w:ascii="仿宋" w:hAnsi="仿宋" w:eastAsia="仿宋" w:cs="仿宋"/>
          <w:sz w:val="32"/>
          <w:szCs w:val="32"/>
          <w:highlight w:val="none"/>
        </w:rPr>
        <w:t>。</w:t>
      </w:r>
    </w:p>
    <w:p w14:paraId="6E732E60">
      <w:pPr>
        <w:spacing w:line="600" w:lineRule="exact"/>
        <w:ind w:firstLine="643" w:firstLineChars="200"/>
        <w:rPr>
          <w:rFonts w:eastAsia="黑体"/>
          <w:b/>
          <w:bCs/>
          <w:sz w:val="32"/>
          <w:szCs w:val="32"/>
        </w:rPr>
      </w:pPr>
      <w:r>
        <w:rPr>
          <w:rFonts w:hint="eastAsia" w:eastAsia="黑体"/>
          <w:b/>
          <w:bCs/>
          <w:sz w:val="32"/>
          <w:szCs w:val="32"/>
        </w:rPr>
        <w:t>四、绩效评价指标分析</w:t>
      </w:r>
    </w:p>
    <w:p w14:paraId="53C7188D">
      <w:pPr>
        <w:spacing w:line="600" w:lineRule="exact"/>
        <w:ind w:firstLine="643" w:firstLineChars="200"/>
        <w:rPr>
          <w:rFonts w:hint="eastAsia" w:eastAsia="黑体"/>
          <w:b/>
          <w:bCs/>
          <w:sz w:val="32"/>
          <w:szCs w:val="32"/>
        </w:rPr>
      </w:pPr>
      <w:r>
        <w:rPr>
          <w:rFonts w:hint="eastAsia" w:eastAsia="黑体"/>
          <w:b/>
          <w:bCs/>
          <w:sz w:val="32"/>
          <w:szCs w:val="32"/>
        </w:rPr>
        <w:t>（一）项目决策情况</w:t>
      </w:r>
    </w:p>
    <w:p w14:paraId="2DE66AD2">
      <w:pPr>
        <w:spacing w:line="620" w:lineRule="exact"/>
        <w:ind w:firstLine="600" w:firstLineChars="200"/>
        <w:rPr>
          <w:rFonts w:hint="eastAsia" w:ascii="仿宋" w:hAnsi="仿宋" w:eastAsia="仿宋" w:cs="仿宋"/>
          <w:sz w:val="32"/>
          <w:szCs w:val="32"/>
        </w:rPr>
      </w:pPr>
      <w:r>
        <w:rPr>
          <w:rFonts w:hint="eastAsia"/>
          <w:sz w:val="30"/>
          <w:szCs w:val="30"/>
        </w:rPr>
        <w:t xml:space="preserve">  </w:t>
      </w:r>
      <w:r>
        <w:rPr>
          <w:rFonts w:hint="eastAsia" w:ascii="仿宋" w:hAnsi="仿宋" w:eastAsia="仿宋" w:cs="仿宋"/>
          <w:sz w:val="32"/>
          <w:szCs w:val="32"/>
        </w:rPr>
        <w:t>2023年怀化职业技术学院对该项资金进行了预算编制，按照工作内容对专项资金进行量化分解，资金分配合理。</w:t>
      </w:r>
    </w:p>
    <w:p w14:paraId="1805C6D8">
      <w:pPr>
        <w:ind w:left="210" w:firstLine="300" w:firstLineChars="100"/>
        <w:rPr>
          <w:rFonts w:hint="eastAsia" w:ascii="仿宋" w:hAnsi="仿宋" w:eastAsia="仿宋" w:cs="仿宋"/>
          <w:sz w:val="32"/>
          <w:szCs w:val="32"/>
        </w:rPr>
      </w:pPr>
      <w:r>
        <w:rPr>
          <w:rFonts w:hint="eastAsia"/>
          <w:sz w:val="30"/>
          <w:szCs w:val="30"/>
        </w:rPr>
        <w:t xml:space="preserve"> </w:t>
      </w:r>
      <w:r>
        <w:rPr>
          <w:rFonts w:hint="eastAsia" w:ascii="仿宋" w:hAnsi="仿宋" w:eastAsia="仿宋" w:cs="仿宋"/>
          <w:sz w:val="32"/>
          <w:szCs w:val="32"/>
        </w:rPr>
        <w:t>合同签订后，安江农校纪念园汇报省文物局后召开现场技术交底会议，联合监理单位对入场材料，对接地、接闪装置数量和质量进行检查，严格施工管理，按照合同按时拨付工程进度款，整个项目通过严肃流程，严控质量，严格资金等环节的管理，较好完年初成绩效目标，各类效益指标凸显，社会满意度提高。</w:t>
      </w:r>
    </w:p>
    <w:p w14:paraId="090E2793">
      <w:pPr>
        <w:spacing w:line="600" w:lineRule="exact"/>
        <w:ind w:firstLine="643" w:firstLineChars="200"/>
        <w:rPr>
          <w:rFonts w:hint="eastAsia" w:eastAsia="黑体"/>
          <w:b/>
          <w:bCs/>
          <w:sz w:val="32"/>
          <w:szCs w:val="32"/>
        </w:rPr>
      </w:pPr>
      <w:r>
        <w:rPr>
          <w:rFonts w:hint="eastAsia" w:eastAsia="黑体"/>
          <w:b/>
          <w:bCs/>
          <w:sz w:val="32"/>
          <w:szCs w:val="32"/>
        </w:rPr>
        <w:t>（二）项目过程情况</w:t>
      </w:r>
    </w:p>
    <w:p w14:paraId="7F10F070">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1.资金管理</w:t>
      </w:r>
    </w:p>
    <w:p w14:paraId="47E5082D">
      <w:pPr>
        <w:pStyle w:val="12"/>
        <w:ind w:firstLine="640"/>
        <w:rPr>
          <w:rFonts w:hint="eastAsia" w:ascii="仿宋" w:hAnsi="仿宋" w:eastAsia="仿宋" w:cs="仿宋"/>
          <w:kern w:val="2"/>
          <w:szCs w:val="32"/>
        </w:rPr>
      </w:pPr>
      <w:r>
        <w:rPr>
          <w:rFonts w:hint="eastAsia" w:ascii="仿宋" w:hAnsi="仿宋" w:eastAsia="仿宋" w:cs="仿宋"/>
          <w:kern w:val="2"/>
          <w:szCs w:val="32"/>
        </w:rPr>
        <w:t>根据绩效目标，严格管理和使用好专项资金。</w:t>
      </w:r>
    </w:p>
    <w:p w14:paraId="38777A31">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2.项目实施</w:t>
      </w:r>
    </w:p>
    <w:p w14:paraId="5A978D74">
      <w:pPr>
        <w:pStyle w:val="5"/>
        <w:shd w:val="clear" w:color="auto" w:fill="FFFFFF"/>
        <w:spacing w:beforeAutospacing="0" w:afterAutospacing="0" w:line="560" w:lineRule="atLeast"/>
        <w:ind w:firstLine="600"/>
        <w:rPr>
          <w:rFonts w:ascii="Calibri" w:hAnsi="Calibri" w:eastAsia="仿宋" w:cs="Calibri"/>
          <w:snapToGrid w:val="0"/>
          <w:spacing w:val="20"/>
          <w:kern w:val="2"/>
          <w:sz w:val="32"/>
          <w:szCs w:val="32"/>
        </w:rPr>
      </w:pPr>
      <w:r>
        <w:rPr>
          <w:rFonts w:hint="eastAsia" w:ascii="Calibri" w:hAnsi="Calibri" w:eastAsia="仿宋" w:cs="Calibri"/>
          <w:snapToGrid w:val="0"/>
          <w:spacing w:val="20"/>
          <w:kern w:val="2"/>
          <w:sz w:val="32"/>
          <w:szCs w:val="32"/>
        </w:rPr>
        <w:t>安江农校纪念园开展巡查制度，每天对文物建筑本体安全及周边环境进行检查，发现问题及隐患及时跟踪处理，针对瞬间游客量的变化，增加移动垃圾清运车，遵照年初拟定的计划有序推进项目工作。</w:t>
      </w:r>
    </w:p>
    <w:p w14:paraId="031A8B50">
      <w:pPr>
        <w:spacing w:line="600" w:lineRule="exact"/>
        <w:ind w:firstLine="643" w:firstLineChars="200"/>
        <w:rPr>
          <w:rFonts w:hint="eastAsia" w:eastAsia="黑体"/>
          <w:b/>
          <w:bCs/>
          <w:sz w:val="32"/>
          <w:szCs w:val="32"/>
        </w:rPr>
      </w:pPr>
      <w:r>
        <w:rPr>
          <w:rFonts w:hint="eastAsia" w:eastAsia="黑体"/>
          <w:b/>
          <w:bCs/>
          <w:sz w:val="32"/>
          <w:szCs w:val="32"/>
        </w:rPr>
        <w:t>（三）项目产出情况</w:t>
      </w:r>
    </w:p>
    <w:p w14:paraId="2C5F2C51">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1.产出数量</w:t>
      </w:r>
    </w:p>
    <w:p w14:paraId="5A33F85E">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接闪装置25栋房屋，接地棒521米，均100%完成，古树引下接地系统1套，自动升降接闪杆1套，雷电预警系统1套，仅完成一半工作量。</w:t>
      </w:r>
    </w:p>
    <w:p w14:paraId="16CC0FEF">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2.产出质量</w:t>
      </w:r>
    </w:p>
    <w:p w14:paraId="2D8BF8E0">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紫铜棒合格率100%，绝缘铜绞线合格率100%，离子接地棒合格率100%。</w:t>
      </w:r>
    </w:p>
    <w:p w14:paraId="6DD773ED">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3.产出成本</w:t>
      </w:r>
    </w:p>
    <w:p w14:paraId="7D874108">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highlight w:val="none"/>
        </w:rPr>
        <w:t>资金按时下拨，</w:t>
      </w:r>
      <w:r>
        <w:rPr>
          <w:rFonts w:hint="eastAsia" w:ascii="仿宋" w:hAnsi="仿宋" w:eastAsia="仿宋" w:cs="仿宋"/>
          <w:sz w:val="32"/>
          <w:szCs w:val="32"/>
          <w:highlight w:val="none"/>
          <w:lang w:eastAsia="zh-CN"/>
        </w:rPr>
        <w:t>到位率</w:t>
      </w:r>
      <w:r>
        <w:rPr>
          <w:rFonts w:hint="eastAsia" w:ascii="仿宋" w:hAnsi="仿宋" w:eastAsia="仿宋" w:cs="仿宋"/>
          <w:sz w:val="32"/>
          <w:szCs w:val="32"/>
          <w:highlight w:val="none"/>
          <w:lang w:val="en-US" w:eastAsia="zh-CN"/>
        </w:rPr>
        <w:t>87.43%</w:t>
      </w:r>
      <w:r>
        <w:rPr>
          <w:rFonts w:hint="eastAsia" w:ascii="仿宋" w:hAnsi="仿宋" w:eastAsia="仿宋" w:cs="仿宋"/>
          <w:sz w:val="32"/>
          <w:szCs w:val="32"/>
          <w:highlight w:val="none"/>
        </w:rPr>
        <w:t>；</w:t>
      </w:r>
      <w:r>
        <w:rPr>
          <w:rFonts w:hint="eastAsia" w:ascii="仿宋" w:hAnsi="仿宋" w:eastAsia="仿宋"/>
          <w:sz w:val="32"/>
          <w:szCs w:val="32"/>
          <w:highlight w:val="none"/>
        </w:rPr>
        <w:t>资金使用率</w:t>
      </w:r>
      <w:r>
        <w:rPr>
          <w:rFonts w:hint="eastAsia" w:ascii="仿宋" w:hAnsi="仿宋" w:eastAsia="仿宋"/>
          <w:sz w:val="32"/>
          <w:szCs w:val="32"/>
          <w:highlight w:val="none"/>
          <w:lang w:eastAsia="zh-CN"/>
        </w:rPr>
        <w:t>为</w:t>
      </w:r>
      <w:r>
        <w:rPr>
          <w:rFonts w:hint="eastAsia" w:ascii="仿宋" w:hAnsi="仿宋" w:eastAsia="仿宋"/>
          <w:sz w:val="32"/>
          <w:szCs w:val="32"/>
          <w:highlight w:val="none"/>
          <w:lang w:val="en-US" w:eastAsia="zh-CN"/>
        </w:rPr>
        <w:t>22.28</w:t>
      </w:r>
      <w:r>
        <w:rPr>
          <w:rFonts w:hint="eastAsia" w:ascii="仿宋" w:hAnsi="仿宋" w:eastAsia="仿宋"/>
          <w:sz w:val="32"/>
          <w:szCs w:val="32"/>
          <w:highlight w:val="none"/>
        </w:rPr>
        <w:t>%</w:t>
      </w:r>
      <w:r>
        <w:rPr>
          <w:rFonts w:hint="eastAsia" w:ascii="仿宋" w:hAnsi="仿宋" w:eastAsia="仿宋" w:cs="仿宋"/>
          <w:sz w:val="32"/>
          <w:szCs w:val="32"/>
          <w:highlight w:val="none"/>
        </w:rPr>
        <w:t xml:space="preserve"> ，未达到既定目标；成</w:t>
      </w:r>
      <w:r>
        <w:rPr>
          <w:rFonts w:hint="eastAsia" w:ascii="仿宋" w:hAnsi="仿宋" w:eastAsia="仿宋" w:cs="仿宋"/>
          <w:sz w:val="32"/>
          <w:szCs w:val="32"/>
        </w:rPr>
        <w:t>本控制率100%。</w:t>
      </w:r>
    </w:p>
    <w:p w14:paraId="48D6CC83">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4.产出时效</w:t>
      </w:r>
    </w:p>
    <w:p w14:paraId="73709A20">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项目在2023年年底开工，开工时间100%执行到位；材料于2023年年底验收，验收时间100%执行到位；进度款于2023年12月支付，进度款支付时间100%到位。</w:t>
      </w:r>
    </w:p>
    <w:p w14:paraId="51CBEE04">
      <w:pPr>
        <w:spacing w:line="600" w:lineRule="exact"/>
        <w:ind w:firstLine="643" w:firstLineChars="200"/>
        <w:rPr>
          <w:rFonts w:eastAsia="黑体"/>
          <w:b/>
          <w:bCs/>
          <w:sz w:val="32"/>
          <w:szCs w:val="32"/>
        </w:rPr>
      </w:pPr>
      <w:r>
        <w:rPr>
          <w:rFonts w:hint="eastAsia" w:eastAsia="黑体"/>
          <w:b/>
          <w:bCs/>
          <w:sz w:val="32"/>
          <w:szCs w:val="32"/>
        </w:rPr>
        <w:t>（四）项目效益情况</w:t>
      </w:r>
    </w:p>
    <w:p w14:paraId="1776F49C">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1.经济效益</w:t>
      </w:r>
    </w:p>
    <w:p w14:paraId="6DA16F7B">
      <w:pPr>
        <w:pStyle w:val="12"/>
        <w:ind w:firstLine="640"/>
        <w:rPr>
          <w:rFonts w:hint="eastAsia" w:ascii="仿宋" w:hAnsi="仿宋" w:eastAsia="仿宋"/>
          <w:color w:val="333333"/>
          <w:szCs w:val="32"/>
        </w:rPr>
      </w:pPr>
      <w:r>
        <w:rPr>
          <w:rFonts w:hint="eastAsia" w:ascii="仿宋" w:hAnsi="仿宋" w:eastAsia="仿宋"/>
          <w:color w:val="333333"/>
          <w:szCs w:val="32"/>
          <w:lang w:eastAsia="zh-CN"/>
        </w:rPr>
        <w:t>安江农校防雷工程</w:t>
      </w:r>
      <w:r>
        <w:rPr>
          <w:rFonts w:hint="eastAsia" w:ascii="仿宋" w:hAnsi="仿宋" w:eastAsia="仿宋"/>
          <w:color w:val="333333"/>
          <w:szCs w:val="32"/>
        </w:rPr>
        <w:t>项目为怀化市打造洪江市旅游“金三角”助力地方旅游经济提供硬件保障，服务当地旅游经济100%，打造旅游目的地100%，社会效能显著。</w:t>
      </w:r>
    </w:p>
    <w:p w14:paraId="1DEB8D41">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2．社会效益</w:t>
      </w:r>
    </w:p>
    <w:p w14:paraId="5F1DF0F3">
      <w:pPr>
        <w:tabs>
          <w:tab w:val="left" w:pos="4973"/>
        </w:tabs>
        <w:ind w:firstLine="640" w:firstLineChars="200"/>
        <w:rPr>
          <w:rFonts w:hint="eastAsia" w:ascii="仿宋" w:hAnsi="仿宋" w:eastAsia="仿宋" w:cs="Times New Roman"/>
          <w:color w:val="333333"/>
          <w:kern w:val="0"/>
          <w:sz w:val="32"/>
          <w:szCs w:val="32"/>
        </w:rPr>
      </w:pPr>
      <w:r>
        <w:rPr>
          <w:rFonts w:hint="eastAsia" w:ascii="仿宋" w:hAnsi="仿宋" w:eastAsia="仿宋" w:cs="Times New Roman"/>
          <w:color w:val="333333"/>
          <w:kern w:val="0"/>
          <w:sz w:val="32"/>
          <w:szCs w:val="32"/>
        </w:rPr>
        <w:t>园区安全率100%，园区全年无事故发生。</w:t>
      </w:r>
    </w:p>
    <w:p w14:paraId="6004FAA5">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3.生态效益</w:t>
      </w:r>
    </w:p>
    <w:p w14:paraId="3A107A76">
      <w:pPr>
        <w:tabs>
          <w:tab w:val="left" w:pos="4973"/>
        </w:tabs>
        <w:ind w:firstLine="640" w:firstLineChars="200"/>
        <w:rPr>
          <w:sz w:val="32"/>
          <w:szCs w:val="32"/>
        </w:rPr>
      </w:pPr>
      <w:r>
        <w:rPr>
          <w:rFonts w:hint="eastAsia" w:ascii="仿宋" w:hAnsi="仿宋" w:eastAsia="仿宋"/>
          <w:color w:val="333333"/>
          <w:kern w:val="0"/>
          <w:sz w:val="32"/>
          <w:szCs w:val="32"/>
        </w:rPr>
        <w:t>严格按照文物保护要求，园区修缮不影响环境风貌</w:t>
      </w:r>
      <w:r>
        <w:rPr>
          <w:sz w:val="32"/>
          <w:szCs w:val="32"/>
        </w:rPr>
        <w:tab/>
      </w:r>
    </w:p>
    <w:p w14:paraId="2536D7A3">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4.可持续影响</w:t>
      </w:r>
    </w:p>
    <w:p w14:paraId="2F117FF0">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园区改造，显著提升安江农校纪念园在社会上的影响力。</w:t>
      </w:r>
    </w:p>
    <w:p w14:paraId="1A21F079">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5.满意度情况</w:t>
      </w:r>
    </w:p>
    <w:p w14:paraId="626EDAC7">
      <w:pPr>
        <w:spacing w:line="620" w:lineRule="exact"/>
        <w:ind w:firstLine="640" w:firstLineChars="200"/>
        <w:rPr>
          <w:rFonts w:hint="eastAsia" w:ascii="仿宋" w:hAnsi="仿宋" w:eastAsia="仿宋"/>
          <w:color w:val="333333"/>
          <w:kern w:val="0"/>
          <w:sz w:val="32"/>
          <w:szCs w:val="32"/>
        </w:rPr>
      </w:pPr>
      <w:r>
        <w:rPr>
          <w:rFonts w:hint="eastAsia" w:ascii="仿宋" w:hAnsi="仿宋" w:eastAsia="仿宋"/>
          <w:color w:val="333333"/>
          <w:kern w:val="0"/>
          <w:sz w:val="32"/>
          <w:szCs w:val="32"/>
        </w:rPr>
        <w:t>参观游客满意度</w:t>
      </w:r>
      <w:r>
        <w:rPr>
          <w:rFonts w:hint="eastAsia" w:ascii="仿宋" w:hAnsi="仿宋" w:eastAsia="仿宋"/>
          <w:color w:val="333333"/>
          <w:kern w:val="0"/>
          <w:sz w:val="32"/>
          <w:szCs w:val="32"/>
        </w:rPr>
        <w:tab/>
      </w:r>
      <w:r>
        <w:rPr>
          <w:rFonts w:hint="eastAsia" w:ascii="仿宋" w:hAnsi="仿宋" w:eastAsia="仿宋"/>
          <w:color w:val="333333"/>
          <w:kern w:val="0"/>
          <w:sz w:val="32"/>
          <w:szCs w:val="32"/>
        </w:rPr>
        <w:t>100%；建设单位满意度100%。</w:t>
      </w:r>
    </w:p>
    <w:p w14:paraId="41D5A3FA">
      <w:pPr>
        <w:adjustRightInd w:val="0"/>
        <w:snapToGrid w:val="0"/>
        <w:spacing w:line="600" w:lineRule="exact"/>
        <w:ind w:firstLine="643" w:firstLineChars="200"/>
        <w:rPr>
          <w:rFonts w:ascii="黑体" w:hAnsi="黑体" w:eastAsia="黑体" w:cs="Times New Roman"/>
          <w:b/>
          <w:bCs/>
          <w:sz w:val="32"/>
          <w:szCs w:val="32"/>
        </w:rPr>
      </w:pPr>
      <w:r>
        <w:rPr>
          <w:rFonts w:hint="eastAsia" w:ascii="黑体" w:hAnsi="黑体" w:eastAsia="黑体" w:cs="Times New Roman"/>
          <w:b/>
          <w:bCs/>
          <w:sz w:val="32"/>
          <w:szCs w:val="32"/>
        </w:rPr>
        <w:t>五、项目主要经验、存在的问题及建议</w:t>
      </w:r>
    </w:p>
    <w:p w14:paraId="3C008C75">
      <w:pPr>
        <w:adjustRightInd w:val="0"/>
        <w:snapToGrid w:val="0"/>
        <w:spacing w:line="600" w:lineRule="exact"/>
        <w:ind w:firstLine="643" w:firstLineChars="200"/>
        <w:rPr>
          <w:rFonts w:hint="eastAsia" w:ascii="黑体" w:hAnsi="黑体" w:eastAsia="黑体" w:cs="Times New Roman"/>
          <w:b/>
          <w:bCs/>
          <w:sz w:val="32"/>
          <w:szCs w:val="32"/>
        </w:rPr>
      </w:pPr>
      <w:r>
        <w:rPr>
          <w:rFonts w:hint="eastAsia" w:ascii="黑体" w:hAnsi="黑体" w:eastAsia="黑体" w:cs="Times New Roman"/>
          <w:b/>
          <w:bCs/>
          <w:sz w:val="32"/>
          <w:szCs w:val="32"/>
        </w:rPr>
        <w:t>（一）项目主要经验及做法</w:t>
      </w:r>
    </w:p>
    <w:p w14:paraId="7C1927C9">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通过安江农校杂交水稻纪念园防雷工程绩效评价工作的开展，进一步加强专项支出的绩效管理，完善业务和财务管理制度，健全和落实财务监控机制，有效提高专项资金的使用效益和效率，确保财政资金的使用绩效。</w:t>
      </w:r>
      <w:r>
        <w:rPr>
          <w:rFonts w:hint="eastAsia" w:ascii="仿宋" w:hAnsi="仿宋" w:eastAsia="仿宋" w:cs="仿宋"/>
          <w:sz w:val="32"/>
          <w:szCs w:val="32"/>
          <w:highlight w:val="none"/>
        </w:rPr>
        <w:t>绩效自评</w:t>
      </w:r>
      <w:r>
        <w:rPr>
          <w:rFonts w:hint="eastAsia" w:ascii="仿宋" w:hAnsi="仿宋" w:eastAsia="仿宋" w:cs="仿宋"/>
          <w:sz w:val="32"/>
          <w:szCs w:val="32"/>
          <w:highlight w:val="none"/>
          <w:lang w:eastAsia="zh-CN"/>
        </w:rPr>
        <w:t>为良</w:t>
      </w:r>
      <w:r>
        <w:rPr>
          <w:rFonts w:hint="eastAsia" w:ascii="仿宋" w:hAnsi="仿宋" w:eastAsia="仿宋" w:cs="仿宋"/>
          <w:sz w:val="32"/>
          <w:szCs w:val="32"/>
          <w:highlight w:val="none"/>
        </w:rPr>
        <w:t>，达到国家文物保护专项资金补助对安江农校</w:t>
      </w:r>
      <w:r>
        <w:rPr>
          <w:rFonts w:hint="eastAsia" w:ascii="仿宋" w:hAnsi="仿宋" w:eastAsia="仿宋" w:cs="仿宋"/>
          <w:sz w:val="32"/>
          <w:szCs w:val="32"/>
        </w:rPr>
        <w:t>纪念园文物的保护目的，为怀化市打造洪江市旅游“金三角”助力地方旅游经济提供硬件保障，社会效能显著。</w:t>
      </w:r>
    </w:p>
    <w:p w14:paraId="6C184E91">
      <w:pPr>
        <w:adjustRightInd w:val="0"/>
        <w:snapToGrid w:val="0"/>
        <w:spacing w:line="600" w:lineRule="exact"/>
        <w:ind w:firstLine="643" w:firstLineChars="200"/>
        <w:rPr>
          <w:rFonts w:hint="eastAsia" w:ascii="黑体" w:hAnsi="黑体" w:eastAsia="黑体" w:cs="Times New Roman"/>
          <w:b/>
          <w:bCs/>
          <w:sz w:val="32"/>
          <w:szCs w:val="32"/>
        </w:rPr>
      </w:pPr>
      <w:r>
        <w:rPr>
          <w:rFonts w:hint="eastAsia" w:ascii="黑体" w:hAnsi="黑体" w:eastAsia="黑体" w:cs="Times New Roman"/>
          <w:b/>
          <w:bCs/>
          <w:sz w:val="32"/>
          <w:szCs w:val="32"/>
        </w:rPr>
        <w:t>（二）存在的问题</w:t>
      </w:r>
    </w:p>
    <w:p w14:paraId="7B8AF6F3">
      <w:pPr>
        <w:adjustRightInd w:val="0"/>
        <w:snapToGrid w:val="0"/>
        <w:spacing w:line="600" w:lineRule="exact"/>
        <w:ind w:firstLine="640" w:firstLineChars="200"/>
        <w:rPr>
          <w:rFonts w:hint="eastAsia" w:ascii="仿宋" w:hAnsi="仿宋" w:eastAsia="仿宋" w:cs="仿宋"/>
          <w:sz w:val="32"/>
          <w:szCs w:val="32"/>
        </w:rPr>
      </w:pPr>
      <w:r>
        <w:rPr>
          <w:rFonts w:hint="eastAsia"/>
          <w:sz w:val="32"/>
          <w:szCs w:val="32"/>
        </w:rPr>
        <w:t xml:space="preserve"> 无</w:t>
      </w:r>
    </w:p>
    <w:p w14:paraId="1D30C63C">
      <w:pPr>
        <w:adjustRightInd w:val="0"/>
        <w:snapToGrid w:val="0"/>
        <w:spacing w:line="600" w:lineRule="exact"/>
        <w:ind w:firstLine="643" w:firstLineChars="200"/>
        <w:rPr>
          <w:rFonts w:hint="eastAsia" w:ascii="黑体" w:hAnsi="黑体" w:eastAsia="黑体" w:cs="Times New Roman"/>
          <w:b/>
          <w:bCs/>
          <w:sz w:val="32"/>
          <w:szCs w:val="32"/>
        </w:rPr>
      </w:pPr>
      <w:r>
        <w:rPr>
          <w:rFonts w:hint="eastAsia" w:ascii="黑体" w:hAnsi="黑体" w:eastAsia="黑体" w:cs="Times New Roman"/>
          <w:b/>
          <w:bCs/>
          <w:sz w:val="32"/>
          <w:szCs w:val="32"/>
        </w:rPr>
        <w:t>（三）有关建议</w:t>
      </w:r>
    </w:p>
    <w:p w14:paraId="7331AC4F">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加强政策宣传、强化部门、院校协作配合，加强信息化建设。</w:t>
      </w:r>
    </w:p>
    <w:p w14:paraId="27248B40">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附件1.项目支出绩效自评表（一个项目支出一张表）</w:t>
      </w:r>
    </w:p>
    <w:p w14:paraId="3FFEE30D">
      <w:pPr>
        <w:widowControl/>
        <w:tabs>
          <w:tab w:val="left" w:pos="3611"/>
          <w:tab w:val="left" w:pos="4791"/>
          <w:tab w:val="left" w:pos="5951"/>
          <w:tab w:val="left" w:pos="7071"/>
          <w:tab w:val="left" w:pos="8191"/>
          <w:tab w:val="left" w:pos="9311"/>
        </w:tabs>
        <w:snapToGrid w:val="0"/>
        <w:spacing w:line="440" w:lineRule="atLeast"/>
        <w:jc w:val="center"/>
        <w:rPr>
          <w:sz w:val="32"/>
          <w:szCs w:val="32"/>
        </w:rPr>
      </w:pPr>
    </w:p>
    <w:p w14:paraId="5F204062">
      <w:pPr>
        <w:widowControl/>
        <w:tabs>
          <w:tab w:val="left" w:pos="3611"/>
          <w:tab w:val="left" w:pos="4791"/>
          <w:tab w:val="left" w:pos="5951"/>
          <w:tab w:val="left" w:pos="7071"/>
          <w:tab w:val="left" w:pos="8191"/>
          <w:tab w:val="left" w:pos="9311"/>
        </w:tabs>
        <w:snapToGrid w:val="0"/>
        <w:spacing w:line="440" w:lineRule="atLeast"/>
        <w:jc w:val="both"/>
        <w:rPr>
          <w:rFonts w:hint="eastAsia" w:ascii="方正小标宋_GBK" w:hAnsi="方正小标宋_GBK" w:eastAsia="方正小标宋_GBK" w:cs="方正小标宋_GBK"/>
          <w:color w:val="000000"/>
          <w:kern w:val="0"/>
          <w:sz w:val="28"/>
          <w:szCs w:val="28"/>
          <w:shd w:val="clear" w:color="auto" w:fill="FFFFFF"/>
          <w:lang w:bidi="ar"/>
        </w:rPr>
      </w:pPr>
    </w:p>
    <w:p w14:paraId="1EC18619">
      <w:pPr>
        <w:widowControl/>
        <w:tabs>
          <w:tab w:val="left" w:pos="3611"/>
          <w:tab w:val="left" w:pos="4791"/>
          <w:tab w:val="left" w:pos="5951"/>
          <w:tab w:val="left" w:pos="7071"/>
          <w:tab w:val="left" w:pos="8191"/>
          <w:tab w:val="left" w:pos="9311"/>
        </w:tabs>
        <w:snapToGrid w:val="0"/>
        <w:spacing w:line="440" w:lineRule="atLeast"/>
        <w:jc w:val="left"/>
        <w:rPr>
          <w:rFonts w:hint="eastAsia" w:ascii="方正小标宋_GBK" w:hAnsi="方正小标宋_GBK" w:eastAsia="方正小标宋_GBK" w:cs="方正小标宋_GBK"/>
          <w:color w:val="000000"/>
          <w:kern w:val="0"/>
          <w:sz w:val="28"/>
          <w:szCs w:val="28"/>
          <w:shd w:val="clear" w:color="auto" w:fill="FFFFFF"/>
          <w:lang w:bidi="ar"/>
        </w:rPr>
      </w:pPr>
      <w:r>
        <w:rPr>
          <w:rFonts w:hint="eastAsia" w:ascii="方正小标宋_GBK" w:hAnsi="方正小标宋_GBK" w:eastAsia="方正小标宋_GBK" w:cs="方正小标宋_GBK"/>
          <w:color w:val="000000"/>
          <w:kern w:val="0"/>
          <w:sz w:val="28"/>
          <w:szCs w:val="28"/>
          <w:shd w:val="clear" w:color="auto" w:fill="FFFFFF"/>
          <w:lang w:bidi="ar"/>
        </w:rPr>
        <w:t xml:space="preserve">附件1 </w:t>
      </w:r>
    </w:p>
    <w:p w14:paraId="30594A88">
      <w:pPr>
        <w:widowControl/>
        <w:tabs>
          <w:tab w:val="left" w:pos="3611"/>
          <w:tab w:val="left" w:pos="4791"/>
          <w:tab w:val="left" w:pos="5951"/>
          <w:tab w:val="left" w:pos="7071"/>
          <w:tab w:val="left" w:pos="8191"/>
          <w:tab w:val="left" w:pos="9311"/>
        </w:tabs>
        <w:snapToGrid w:val="0"/>
        <w:spacing w:line="440" w:lineRule="atLeast"/>
        <w:jc w:val="center"/>
        <w:rPr>
          <w:rFonts w:hint="eastAsia" w:ascii="方正小标宋_GBK" w:hAnsi="方正小标宋_GBK" w:eastAsia="方正小标宋_GBK" w:cs="方正小标宋_GBK"/>
          <w:color w:val="000000"/>
          <w:kern w:val="0"/>
          <w:sz w:val="28"/>
          <w:szCs w:val="28"/>
          <w:shd w:val="clear" w:color="auto" w:fill="FFFFFF"/>
          <w:lang w:bidi="ar"/>
        </w:rPr>
      </w:pPr>
      <w:r>
        <w:rPr>
          <w:rFonts w:hint="eastAsia" w:ascii="方正小标宋_GBK" w:hAnsi="方正小标宋_GBK" w:eastAsia="方正小标宋_GBK" w:cs="方正小标宋_GBK"/>
          <w:color w:val="000000"/>
          <w:kern w:val="0"/>
          <w:sz w:val="28"/>
          <w:szCs w:val="28"/>
          <w:shd w:val="clear" w:color="auto" w:fill="FFFFFF"/>
          <w:lang w:bidi="ar"/>
        </w:rPr>
        <w:t>项目支出绩效自评表</w:t>
      </w:r>
    </w:p>
    <w:tbl>
      <w:tblPr>
        <w:tblStyle w:val="6"/>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25D76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vAlign w:val="center"/>
          </w:tcPr>
          <w:p w14:paraId="6C8D10F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7AD060C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8"/>
            <w:vAlign w:val="center"/>
          </w:tcPr>
          <w:p w14:paraId="271D306C">
            <w:pPr>
              <w:widowControl/>
              <w:spacing w:line="280" w:lineRule="exact"/>
              <w:jc w:val="center"/>
              <w:rPr>
                <w:rFonts w:hint="eastAsia" w:ascii="仿宋" w:hAnsi="仿宋" w:eastAsia="仿宋" w:cs="仿宋"/>
                <w:color w:val="000000"/>
                <w:kern w:val="0"/>
                <w:sz w:val="20"/>
                <w:szCs w:val="20"/>
              </w:rPr>
            </w:pPr>
            <w:r>
              <w:rPr>
                <w:rFonts w:hint="eastAsia" w:ascii="仿宋_GB2312" w:eastAsia="仿宋_GB2312"/>
                <w:sz w:val="24"/>
                <w:lang w:eastAsia="zh-CN"/>
              </w:rPr>
              <w:t>安江农校防雷工程</w:t>
            </w:r>
            <w:r>
              <w:rPr>
                <w:rFonts w:hint="eastAsia" w:ascii="仿宋" w:hAnsi="仿宋" w:eastAsia="仿宋" w:cs="仿宋"/>
                <w:color w:val="000000"/>
                <w:kern w:val="0"/>
                <w:sz w:val="20"/>
                <w:szCs w:val="20"/>
              </w:rPr>
              <w:t>　</w:t>
            </w:r>
          </w:p>
        </w:tc>
      </w:tr>
      <w:tr w14:paraId="326AD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vAlign w:val="center"/>
          </w:tcPr>
          <w:p w14:paraId="53334344">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518" w:type="dxa"/>
            <w:gridSpan w:val="4"/>
            <w:vAlign w:val="center"/>
          </w:tcPr>
          <w:p w14:paraId="70A879F7">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vAlign w:val="center"/>
          </w:tcPr>
          <w:p w14:paraId="0A5BF90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3119" w:type="dxa"/>
            <w:gridSpan w:val="3"/>
            <w:vAlign w:val="center"/>
          </w:tcPr>
          <w:p w14:paraId="056C9A5F">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怀化职业技术学院</w:t>
            </w:r>
          </w:p>
        </w:tc>
      </w:tr>
      <w:tr w14:paraId="6E175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vAlign w:val="center"/>
          </w:tcPr>
          <w:p w14:paraId="48BD207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p>
          <w:p w14:paraId="1A938A3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（万元）</w:t>
            </w:r>
          </w:p>
        </w:tc>
        <w:tc>
          <w:tcPr>
            <w:tcW w:w="2160" w:type="dxa"/>
            <w:gridSpan w:val="2"/>
            <w:vAlign w:val="center"/>
          </w:tcPr>
          <w:p w14:paraId="2929312D">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49" w:type="dxa"/>
            <w:vAlign w:val="center"/>
          </w:tcPr>
          <w:p w14:paraId="2C5047B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1EDD06F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209" w:type="dxa"/>
            <w:vAlign w:val="center"/>
          </w:tcPr>
          <w:p w14:paraId="205FE08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193595D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134" w:type="dxa"/>
            <w:vAlign w:val="center"/>
          </w:tcPr>
          <w:p w14:paraId="37C29ADF">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全年</w:t>
            </w:r>
          </w:p>
          <w:p w14:paraId="3FBC2C36">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执行数</w:t>
            </w:r>
          </w:p>
        </w:tc>
        <w:tc>
          <w:tcPr>
            <w:tcW w:w="828" w:type="dxa"/>
            <w:vAlign w:val="center"/>
          </w:tcPr>
          <w:p w14:paraId="30F8ED3C">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分值</w:t>
            </w:r>
          </w:p>
        </w:tc>
        <w:tc>
          <w:tcPr>
            <w:tcW w:w="873" w:type="dxa"/>
            <w:vAlign w:val="center"/>
          </w:tcPr>
          <w:p w14:paraId="58B1D390">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执行率</w:t>
            </w:r>
          </w:p>
        </w:tc>
        <w:tc>
          <w:tcPr>
            <w:tcW w:w="1418" w:type="dxa"/>
            <w:vAlign w:val="center"/>
          </w:tcPr>
          <w:p w14:paraId="390E2111">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得分</w:t>
            </w:r>
          </w:p>
        </w:tc>
      </w:tr>
      <w:tr w14:paraId="6A8A4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1055B81D">
            <w:pPr>
              <w:widowControl/>
              <w:spacing w:line="280" w:lineRule="exact"/>
              <w:jc w:val="left"/>
              <w:rPr>
                <w:rFonts w:hint="eastAsia" w:ascii="仿宋" w:hAnsi="仿宋" w:eastAsia="仿宋" w:cs="仿宋"/>
                <w:color w:val="000000"/>
                <w:kern w:val="0"/>
                <w:sz w:val="20"/>
                <w:szCs w:val="20"/>
              </w:rPr>
            </w:pPr>
          </w:p>
        </w:tc>
        <w:tc>
          <w:tcPr>
            <w:tcW w:w="2160" w:type="dxa"/>
            <w:gridSpan w:val="2"/>
            <w:vAlign w:val="center"/>
          </w:tcPr>
          <w:p w14:paraId="4384ED9A">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年度资金总额　</w:t>
            </w:r>
          </w:p>
        </w:tc>
        <w:tc>
          <w:tcPr>
            <w:tcW w:w="1149" w:type="dxa"/>
            <w:vAlign w:val="center"/>
          </w:tcPr>
          <w:p w14:paraId="5D9C0835">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09" w:type="dxa"/>
            <w:vAlign w:val="center"/>
          </w:tcPr>
          <w:p w14:paraId="45F3BC3C">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585</w:t>
            </w:r>
          </w:p>
        </w:tc>
        <w:tc>
          <w:tcPr>
            <w:tcW w:w="1134" w:type="dxa"/>
            <w:vAlign w:val="center"/>
          </w:tcPr>
          <w:p w14:paraId="3289219D">
            <w:pPr>
              <w:widowControl/>
              <w:spacing w:line="280" w:lineRule="exact"/>
              <w:jc w:val="left"/>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130.35</w:t>
            </w:r>
          </w:p>
        </w:tc>
        <w:tc>
          <w:tcPr>
            <w:tcW w:w="828" w:type="dxa"/>
            <w:vAlign w:val="center"/>
          </w:tcPr>
          <w:p w14:paraId="51DB5961">
            <w:pPr>
              <w:widowControl/>
              <w:spacing w:line="280" w:lineRule="exact"/>
              <w:ind w:firstLine="200" w:firstLineChars="10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w:t>
            </w:r>
          </w:p>
        </w:tc>
        <w:tc>
          <w:tcPr>
            <w:tcW w:w="873" w:type="dxa"/>
            <w:vAlign w:val="center"/>
          </w:tcPr>
          <w:p w14:paraId="6700B3CE">
            <w:pPr>
              <w:widowControl/>
              <w:spacing w:line="280" w:lineRule="exact"/>
              <w:jc w:val="left"/>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22.28%</w:t>
            </w:r>
          </w:p>
        </w:tc>
        <w:tc>
          <w:tcPr>
            <w:tcW w:w="1418" w:type="dxa"/>
            <w:vAlign w:val="center"/>
          </w:tcPr>
          <w:p w14:paraId="400590C8">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2.23</w:t>
            </w:r>
          </w:p>
        </w:tc>
      </w:tr>
      <w:tr w14:paraId="75B69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557E986F">
            <w:pPr>
              <w:widowControl/>
              <w:spacing w:line="280" w:lineRule="exact"/>
              <w:jc w:val="left"/>
              <w:rPr>
                <w:rFonts w:hint="eastAsia" w:ascii="仿宋" w:hAnsi="仿宋" w:eastAsia="仿宋" w:cs="仿宋"/>
                <w:color w:val="000000"/>
                <w:kern w:val="0"/>
                <w:sz w:val="20"/>
                <w:szCs w:val="20"/>
              </w:rPr>
            </w:pPr>
          </w:p>
        </w:tc>
        <w:tc>
          <w:tcPr>
            <w:tcW w:w="2160" w:type="dxa"/>
            <w:gridSpan w:val="2"/>
            <w:vAlign w:val="center"/>
          </w:tcPr>
          <w:p w14:paraId="74AAAEFE">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　</w:t>
            </w:r>
          </w:p>
        </w:tc>
        <w:tc>
          <w:tcPr>
            <w:tcW w:w="1149" w:type="dxa"/>
            <w:vAlign w:val="center"/>
          </w:tcPr>
          <w:p w14:paraId="530829DA">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09" w:type="dxa"/>
            <w:vAlign w:val="center"/>
          </w:tcPr>
          <w:p w14:paraId="7B3A7977">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147</w:t>
            </w:r>
          </w:p>
        </w:tc>
        <w:tc>
          <w:tcPr>
            <w:tcW w:w="1134" w:type="dxa"/>
            <w:vAlign w:val="center"/>
          </w:tcPr>
          <w:p w14:paraId="0D52D24E">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vAlign w:val="center"/>
          </w:tcPr>
          <w:p w14:paraId="3D5AA86B">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vAlign w:val="center"/>
          </w:tcPr>
          <w:p w14:paraId="59FBDF8B">
            <w:pPr>
              <w:widowControl/>
              <w:spacing w:line="280" w:lineRule="exact"/>
              <w:jc w:val="left"/>
              <w:rPr>
                <w:rFonts w:hint="eastAsia" w:ascii="仿宋" w:hAnsi="仿宋" w:eastAsia="仿宋" w:cs="仿宋"/>
                <w:color w:val="000000"/>
                <w:kern w:val="0"/>
                <w:sz w:val="20"/>
                <w:szCs w:val="20"/>
              </w:rPr>
            </w:pPr>
          </w:p>
        </w:tc>
        <w:tc>
          <w:tcPr>
            <w:tcW w:w="1418" w:type="dxa"/>
            <w:vAlign w:val="center"/>
          </w:tcPr>
          <w:p w14:paraId="2EBBCD0F">
            <w:pPr>
              <w:widowControl/>
              <w:spacing w:line="280" w:lineRule="exact"/>
              <w:jc w:val="center"/>
              <w:rPr>
                <w:rFonts w:hint="eastAsia" w:ascii="仿宋" w:hAnsi="仿宋" w:eastAsia="仿宋" w:cs="仿宋"/>
                <w:color w:val="000000"/>
                <w:kern w:val="0"/>
                <w:sz w:val="20"/>
                <w:szCs w:val="20"/>
              </w:rPr>
            </w:pPr>
          </w:p>
        </w:tc>
      </w:tr>
      <w:tr w14:paraId="645EB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780E52F1">
            <w:pPr>
              <w:widowControl/>
              <w:spacing w:line="280" w:lineRule="exact"/>
              <w:jc w:val="left"/>
              <w:rPr>
                <w:rFonts w:hint="eastAsia" w:ascii="仿宋" w:hAnsi="仿宋" w:eastAsia="仿宋" w:cs="仿宋"/>
                <w:color w:val="000000"/>
                <w:kern w:val="0"/>
                <w:sz w:val="20"/>
                <w:szCs w:val="20"/>
              </w:rPr>
            </w:pPr>
          </w:p>
        </w:tc>
        <w:tc>
          <w:tcPr>
            <w:tcW w:w="2160" w:type="dxa"/>
            <w:gridSpan w:val="2"/>
            <w:vAlign w:val="center"/>
          </w:tcPr>
          <w:p w14:paraId="5890CD61">
            <w:pPr>
              <w:widowControl/>
              <w:spacing w:line="280" w:lineRule="exact"/>
              <w:ind w:firstLine="600" w:firstLineChars="30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　</w:t>
            </w:r>
          </w:p>
        </w:tc>
        <w:tc>
          <w:tcPr>
            <w:tcW w:w="1149" w:type="dxa"/>
            <w:vAlign w:val="center"/>
          </w:tcPr>
          <w:p w14:paraId="4623D662">
            <w:pPr>
              <w:widowControl/>
              <w:spacing w:line="280" w:lineRule="exact"/>
              <w:jc w:val="left"/>
              <w:rPr>
                <w:rFonts w:hint="eastAsia" w:ascii="仿宋" w:hAnsi="仿宋" w:eastAsia="仿宋" w:cs="仿宋"/>
                <w:color w:val="000000"/>
                <w:kern w:val="0"/>
                <w:sz w:val="20"/>
                <w:szCs w:val="20"/>
              </w:rPr>
            </w:pPr>
          </w:p>
        </w:tc>
        <w:tc>
          <w:tcPr>
            <w:tcW w:w="1209" w:type="dxa"/>
            <w:vAlign w:val="center"/>
          </w:tcPr>
          <w:p w14:paraId="67E446C4">
            <w:pPr>
              <w:widowControl/>
              <w:spacing w:line="280" w:lineRule="exact"/>
              <w:jc w:val="left"/>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438</w:t>
            </w:r>
          </w:p>
        </w:tc>
        <w:tc>
          <w:tcPr>
            <w:tcW w:w="1134" w:type="dxa"/>
            <w:vAlign w:val="center"/>
          </w:tcPr>
          <w:p w14:paraId="3B7BACE3">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vAlign w:val="center"/>
          </w:tcPr>
          <w:p w14:paraId="12A45895">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vAlign w:val="center"/>
          </w:tcPr>
          <w:p w14:paraId="45E716FB">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vAlign w:val="center"/>
          </w:tcPr>
          <w:p w14:paraId="4D6986A1">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E5A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vAlign w:val="center"/>
          </w:tcPr>
          <w:p w14:paraId="212410E5">
            <w:pPr>
              <w:widowControl/>
              <w:spacing w:line="280" w:lineRule="exact"/>
              <w:jc w:val="left"/>
              <w:rPr>
                <w:rFonts w:hint="eastAsia" w:ascii="仿宋" w:hAnsi="仿宋" w:eastAsia="仿宋" w:cs="仿宋"/>
                <w:color w:val="000000"/>
                <w:kern w:val="0"/>
                <w:sz w:val="20"/>
                <w:szCs w:val="20"/>
              </w:rPr>
            </w:pPr>
          </w:p>
        </w:tc>
        <w:tc>
          <w:tcPr>
            <w:tcW w:w="2160" w:type="dxa"/>
            <w:gridSpan w:val="2"/>
            <w:vAlign w:val="center"/>
          </w:tcPr>
          <w:p w14:paraId="7FA8D45D">
            <w:pPr>
              <w:widowControl/>
              <w:spacing w:line="280" w:lineRule="exact"/>
              <w:ind w:firstLine="600" w:firstLineChars="30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149" w:type="dxa"/>
            <w:vAlign w:val="center"/>
          </w:tcPr>
          <w:p w14:paraId="0AE7F650">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09" w:type="dxa"/>
            <w:vAlign w:val="center"/>
          </w:tcPr>
          <w:p w14:paraId="7FE11EB8">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vAlign w:val="center"/>
          </w:tcPr>
          <w:p w14:paraId="7A6479DE">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vAlign w:val="center"/>
          </w:tcPr>
          <w:p w14:paraId="7BA431C1">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vAlign w:val="center"/>
          </w:tcPr>
          <w:p w14:paraId="6515BFE8">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vAlign w:val="center"/>
          </w:tcPr>
          <w:p w14:paraId="0E701ECC">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0A67A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0" w:type="dxa"/>
            <w:vMerge w:val="restart"/>
            <w:vAlign w:val="center"/>
          </w:tcPr>
          <w:p w14:paraId="62A61DE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18" w:type="dxa"/>
            <w:gridSpan w:val="4"/>
            <w:vAlign w:val="center"/>
          </w:tcPr>
          <w:p w14:paraId="19D6899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253" w:type="dxa"/>
            <w:gridSpan w:val="4"/>
            <w:vAlign w:val="center"/>
          </w:tcPr>
          <w:p w14:paraId="5668B80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14:paraId="79235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vAlign w:val="center"/>
          </w:tcPr>
          <w:p w14:paraId="462CE1A4">
            <w:pPr>
              <w:widowControl/>
              <w:spacing w:line="280" w:lineRule="exact"/>
              <w:jc w:val="left"/>
              <w:rPr>
                <w:rFonts w:hint="eastAsia" w:ascii="仿宋" w:hAnsi="仿宋" w:eastAsia="仿宋" w:cs="仿宋"/>
                <w:color w:val="000000"/>
                <w:kern w:val="0"/>
                <w:sz w:val="20"/>
                <w:szCs w:val="20"/>
              </w:rPr>
            </w:pPr>
          </w:p>
        </w:tc>
        <w:tc>
          <w:tcPr>
            <w:tcW w:w="4518" w:type="dxa"/>
            <w:gridSpan w:val="4"/>
            <w:vAlign w:val="center"/>
          </w:tcPr>
          <w:p w14:paraId="42D92AD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项目开工建设</w:t>
            </w:r>
          </w:p>
        </w:tc>
        <w:tc>
          <w:tcPr>
            <w:tcW w:w="4253" w:type="dxa"/>
            <w:gridSpan w:val="4"/>
            <w:vAlign w:val="center"/>
          </w:tcPr>
          <w:p w14:paraId="204E5BC5">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已按预期目标完成</w:t>
            </w:r>
          </w:p>
        </w:tc>
      </w:tr>
      <w:tr w14:paraId="595A8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vAlign w:val="center"/>
          </w:tcPr>
          <w:p w14:paraId="5B8988E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4656096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6DB41F3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321F716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vAlign w:val="center"/>
          </w:tcPr>
          <w:p w14:paraId="7B4E5B3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080" w:type="dxa"/>
            <w:vAlign w:val="center"/>
          </w:tcPr>
          <w:p w14:paraId="080DAB1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149" w:type="dxa"/>
            <w:vAlign w:val="center"/>
          </w:tcPr>
          <w:p w14:paraId="0F6A4D7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209" w:type="dxa"/>
            <w:vAlign w:val="center"/>
          </w:tcPr>
          <w:p w14:paraId="7C2B284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1EB4CEF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134" w:type="dxa"/>
            <w:vAlign w:val="center"/>
          </w:tcPr>
          <w:p w14:paraId="1973880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00357EC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828" w:type="dxa"/>
            <w:vAlign w:val="center"/>
          </w:tcPr>
          <w:p w14:paraId="1F4C9DA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873" w:type="dxa"/>
            <w:vAlign w:val="center"/>
          </w:tcPr>
          <w:p w14:paraId="594842C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418" w:type="dxa"/>
            <w:vAlign w:val="center"/>
          </w:tcPr>
          <w:p w14:paraId="4437400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16A06E6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23B7B2F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69DE6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01899E60">
            <w:pPr>
              <w:widowControl/>
              <w:spacing w:line="280" w:lineRule="exact"/>
              <w:jc w:val="left"/>
              <w:rPr>
                <w:rFonts w:hint="eastAsia" w:ascii="仿宋" w:hAnsi="仿宋" w:eastAsia="仿宋" w:cs="仿宋"/>
                <w:color w:val="000000"/>
                <w:kern w:val="0"/>
                <w:sz w:val="20"/>
                <w:szCs w:val="20"/>
              </w:rPr>
            </w:pPr>
          </w:p>
        </w:tc>
        <w:tc>
          <w:tcPr>
            <w:tcW w:w="1080" w:type="dxa"/>
            <w:vMerge w:val="restart"/>
            <w:vAlign w:val="center"/>
          </w:tcPr>
          <w:p w14:paraId="178D8C5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2C4C9ED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（50分）</w:t>
            </w:r>
          </w:p>
        </w:tc>
        <w:tc>
          <w:tcPr>
            <w:tcW w:w="1080" w:type="dxa"/>
            <w:vMerge w:val="restart"/>
            <w:vAlign w:val="center"/>
          </w:tcPr>
          <w:p w14:paraId="1275C7C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149" w:type="dxa"/>
            <w:vAlign w:val="center"/>
          </w:tcPr>
          <w:p w14:paraId="4B7CF0B2">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接闪装置</w:t>
            </w:r>
          </w:p>
        </w:tc>
        <w:tc>
          <w:tcPr>
            <w:tcW w:w="1209" w:type="dxa"/>
            <w:vAlign w:val="center"/>
          </w:tcPr>
          <w:p w14:paraId="132AB9FE">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25栋房屋</w:t>
            </w:r>
          </w:p>
        </w:tc>
        <w:tc>
          <w:tcPr>
            <w:tcW w:w="1134" w:type="dxa"/>
            <w:vAlign w:val="center"/>
          </w:tcPr>
          <w:p w14:paraId="692DEE7B">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25栋房屋</w:t>
            </w:r>
          </w:p>
        </w:tc>
        <w:tc>
          <w:tcPr>
            <w:tcW w:w="828" w:type="dxa"/>
            <w:vAlign w:val="center"/>
          </w:tcPr>
          <w:p w14:paraId="2222E124">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  4</w:t>
            </w:r>
          </w:p>
        </w:tc>
        <w:tc>
          <w:tcPr>
            <w:tcW w:w="873" w:type="dxa"/>
            <w:vAlign w:val="center"/>
          </w:tcPr>
          <w:p w14:paraId="2F23F09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w:t>
            </w:r>
          </w:p>
        </w:tc>
        <w:tc>
          <w:tcPr>
            <w:tcW w:w="1418" w:type="dxa"/>
            <w:vAlign w:val="center"/>
          </w:tcPr>
          <w:p w14:paraId="10D22B93">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F3AA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135E7093">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29117DD6">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1F154AB1">
            <w:pPr>
              <w:widowControl/>
              <w:spacing w:line="280" w:lineRule="exact"/>
              <w:jc w:val="center"/>
              <w:rPr>
                <w:rFonts w:hint="eastAsia" w:ascii="仿宋" w:hAnsi="仿宋" w:eastAsia="仿宋" w:cs="仿宋"/>
                <w:color w:val="000000"/>
                <w:kern w:val="0"/>
                <w:sz w:val="20"/>
                <w:szCs w:val="20"/>
              </w:rPr>
            </w:pPr>
          </w:p>
        </w:tc>
        <w:tc>
          <w:tcPr>
            <w:tcW w:w="1149" w:type="dxa"/>
            <w:vAlign w:val="center"/>
          </w:tcPr>
          <w:p w14:paraId="0EDF3AE0">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接地棒</w:t>
            </w:r>
          </w:p>
        </w:tc>
        <w:tc>
          <w:tcPr>
            <w:tcW w:w="1209" w:type="dxa"/>
            <w:vAlign w:val="center"/>
          </w:tcPr>
          <w:p w14:paraId="24E25D4C">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521米</w:t>
            </w:r>
          </w:p>
        </w:tc>
        <w:tc>
          <w:tcPr>
            <w:tcW w:w="1134" w:type="dxa"/>
            <w:vAlign w:val="center"/>
          </w:tcPr>
          <w:p w14:paraId="1B21EFBF">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521米</w:t>
            </w:r>
          </w:p>
        </w:tc>
        <w:tc>
          <w:tcPr>
            <w:tcW w:w="828" w:type="dxa"/>
            <w:vAlign w:val="center"/>
          </w:tcPr>
          <w:p w14:paraId="7FF742A2">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4</w:t>
            </w:r>
          </w:p>
        </w:tc>
        <w:tc>
          <w:tcPr>
            <w:tcW w:w="873" w:type="dxa"/>
            <w:vAlign w:val="center"/>
          </w:tcPr>
          <w:p w14:paraId="4BC42F4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w:t>
            </w:r>
          </w:p>
        </w:tc>
        <w:tc>
          <w:tcPr>
            <w:tcW w:w="1418" w:type="dxa"/>
            <w:vAlign w:val="center"/>
          </w:tcPr>
          <w:p w14:paraId="4057468F">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285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3946049A">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4E2B4B28">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6DEF14BF">
            <w:pPr>
              <w:widowControl/>
              <w:spacing w:line="280" w:lineRule="exact"/>
              <w:jc w:val="center"/>
              <w:rPr>
                <w:rFonts w:hint="eastAsia" w:ascii="仿宋" w:hAnsi="仿宋" w:eastAsia="仿宋" w:cs="仿宋"/>
                <w:color w:val="000000"/>
                <w:kern w:val="0"/>
                <w:sz w:val="20"/>
                <w:szCs w:val="20"/>
              </w:rPr>
            </w:pPr>
          </w:p>
        </w:tc>
        <w:tc>
          <w:tcPr>
            <w:tcW w:w="1149" w:type="dxa"/>
            <w:vAlign w:val="center"/>
          </w:tcPr>
          <w:p w14:paraId="07FBCDB7">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古树引下接地系统</w:t>
            </w:r>
          </w:p>
        </w:tc>
        <w:tc>
          <w:tcPr>
            <w:tcW w:w="1209" w:type="dxa"/>
            <w:vAlign w:val="center"/>
          </w:tcPr>
          <w:p w14:paraId="620F8F5D">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2套</w:t>
            </w:r>
          </w:p>
        </w:tc>
        <w:tc>
          <w:tcPr>
            <w:tcW w:w="1134" w:type="dxa"/>
            <w:vAlign w:val="center"/>
          </w:tcPr>
          <w:p w14:paraId="09FBD13C">
            <w:pP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1套</w:t>
            </w:r>
          </w:p>
        </w:tc>
        <w:tc>
          <w:tcPr>
            <w:tcW w:w="828" w:type="dxa"/>
            <w:vAlign w:val="center"/>
          </w:tcPr>
          <w:p w14:paraId="1C96943C">
            <w:pPr>
              <w:widowControl/>
              <w:spacing w:line="280" w:lineRule="exact"/>
              <w:ind w:firstLine="200" w:firstLineChars="100"/>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4</w:t>
            </w:r>
          </w:p>
        </w:tc>
        <w:tc>
          <w:tcPr>
            <w:tcW w:w="873" w:type="dxa"/>
            <w:vAlign w:val="center"/>
          </w:tcPr>
          <w:p w14:paraId="57C1866E">
            <w:pPr>
              <w:widowControl/>
              <w:spacing w:line="28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w:t>
            </w:r>
          </w:p>
        </w:tc>
        <w:tc>
          <w:tcPr>
            <w:tcW w:w="1418" w:type="dxa"/>
            <w:vAlign w:val="center"/>
          </w:tcPr>
          <w:p w14:paraId="364F127D">
            <w:pPr>
              <w:rPr>
                <w:rFonts w:hint="eastAsia" w:ascii="仿宋" w:hAnsi="仿宋" w:eastAsia="仿宋" w:cs="仿宋"/>
                <w:color w:val="000000"/>
                <w:kern w:val="0"/>
                <w:sz w:val="20"/>
                <w:szCs w:val="20"/>
                <w:highlight w:val="none"/>
                <w:lang w:eastAsia="zh-CN"/>
              </w:rPr>
            </w:pPr>
            <w:r>
              <w:rPr>
                <w:rFonts w:hint="eastAsia" w:ascii="仿宋" w:hAnsi="仿宋" w:eastAsia="仿宋" w:cs="仿宋"/>
                <w:color w:val="000000"/>
                <w:kern w:val="0"/>
                <w:sz w:val="20"/>
                <w:szCs w:val="20"/>
                <w:highlight w:val="none"/>
              </w:rPr>
              <w:t>还在施工中</w:t>
            </w:r>
            <w:r>
              <w:rPr>
                <w:rFonts w:hint="eastAsia" w:ascii="仿宋" w:hAnsi="仿宋" w:eastAsia="仿宋" w:cs="仿宋"/>
                <w:color w:val="000000"/>
                <w:kern w:val="0"/>
                <w:sz w:val="20"/>
                <w:szCs w:val="20"/>
                <w:highlight w:val="none"/>
                <w:lang w:eastAsia="zh-CN"/>
              </w:rPr>
              <w:t>，加快工程进度</w:t>
            </w:r>
          </w:p>
        </w:tc>
      </w:tr>
      <w:tr w14:paraId="42EB8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1488F467">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6514DE58">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6CA2C862">
            <w:pPr>
              <w:widowControl/>
              <w:spacing w:line="280" w:lineRule="exact"/>
              <w:jc w:val="center"/>
              <w:rPr>
                <w:rFonts w:hint="eastAsia" w:ascii="仿宋" w:hAnsi="仿宋" w:eastAsia="仿宋" w:cs="仿宋"/>
                <w:color w:val="000000"/>
                <w:kern w:val="0"/>
                <w:sz w:val="20"/>
                <w:szCs w:val="20"/>
              </w:rPr>
            </w:pPr>
          </w:p>
        </w:tc>
        <w:tc>
          <w:tcPr>
            <w:tcW w:w="1149" w:type="dxa"/>
            <w:vAlign w:val="center"/>
          </w:tcPr>
          <w:p w14:paraId="3BEE3F74">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自动升降接闪杆</w:t>
            </w:r>
          </w:p>
        </w:tc>
        <w:tc>
          <w:tcPr>
            <w:tcW w:w="1209" w:type="dxa"/>
            <w:vAlign w:val="center"/>
          </w:tcPr>
          <w:p w14:paraId="3E0515B0">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2套</w:t>
            </w:r>
          </w:p>
        </w:tc>
        <w:tc>
          <w:tcPr>
            <w:tcW w:w="1134" w:type="dxa"/>
            <w:vAlign w:val="center"/>
          </w:tcPr>
          <w:p w14:paraId="641DE4E4">
            <w:pP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1套</w:t>
            </w:r>
          </w:p>
        </w:tc>
        <w:tc>
          <w:tcPr>
            <w:tcW w:w="828" w:type="dxa"/>
            <w:vAlign w:val="center"/>
          </w:tcPr>
          <w:p w14:paraId="69E2E481">
            <w:pPr>
              <w:widowControl/>
              <w:spacing w:line="280" w:lineRule="exact"/>
              <w:ind w:firstLine="200" w:firstLineChars="100"/>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4</w:t>
            </w:r>
          </w:p>
        </w:tc>
        <w:tc>
          <w:tcPr>
            <w:tcW w:w="873" w:type="dxa"/>
            <w:vAlign w:val="center"/>
          </w:tcPr>
          <w:p w14:paraId="4065155C">
            <w:pPr>
              <w:widowControl/>
              <w:spacing w:line="28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w:t>
            </w:r>
          </w:p>
        </w:tc>
        <w:tc>
          <w:tcPr>
            <w:tcW w:w="1418" w:type="dxa"/>
            <w:vAlign w:val="center"/>
          </w:tcPr>
          <w:p w14:paraId="00F144DD">
            <w:pP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还在施工中</w:t>
            </w:r>
            <w:r>
              <w:rPr>
                <w:rFonts w:hint="eastAsia" w:ascii="仿宋" w:hAnsi="仿宋" w:eastAsia="仿宋" w:cs="仿宋"/>
                <w:color w:val="000000"/>
                <w:kern w:val="0"/>
                <w:sz w:val="20"/>
                <w:szCs w:val="20"/>
                <w:highlight w:val="none"/>
                <w:lang w:eastAsia="zh-CN"/>
              </w:rPr>
              <w:t>，加快工程进度</w:t>
            </w:r>
          </w:p>
        </w:tc>
      </w:tr>
      <w:tr w14:paraId="25C21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61D8EB9B">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59D375FE">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20628590">
            <w:pPr>
              <w:widowControl/>
              <w:spacing w:line="280" w:lineRule="exact"/>
              <w:jc w:val="center"/>
              <w:rPr>
                <w:rFonts w:hint="eastAsia" w:ascii="仿宋" w:hAnsi="仿宋" w:eastAsia="仿宋" w:cs="仿宋"/>
                <w:color w:val="000000"/>
                <w:kern w:val="0"/>
                <w:sz w:val="20"/>
                <w:szCs w:val="20"/>
              </w:rPr>
            </w:pPr>
          </w:p>
        </w:tc>
        <w:tc>
          <w:tcPr>
            <w:tcW w:w="1149" w:type="dxa"/>
            <w:vAlign w:val="center"/>
          </w:tcPr>
          <w:p w14:paraId="7EAABB8D">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雷电预警系统</w:t>
            </w:r>
          </w:p>
        </w:tc>
        <w:tc>
          <w:tcPr>
            <w:tcW w:w="1209" w:type="dxa"/>
            <w:vAlign w:val="center"/>
          </w:tcPr>
          <w:p w14:paraId="76EA130B">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2套</w:t>
            </w:r>
          </w:p>
        </w:tc>
        <w:tc>
          <w:tcPr>
            <w:tcW w:w="1134" w:type="dxa"/>
            <w:vAlign w:val="center"/>
          </w:tcPr>
          <w:p w14:paraId="0CE992E5">
            <w:pP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1套</w:t>
            </w:r>
          </w:p>
        </w:tc>
        <w:tc>
          <w:tcPr>
            <w:tcW w:w="828" w:type="dxa"/>
            <w:vAlign w:val="center"/>
          </w:tcPr>
          <w:p w14:paraId="77B52571">
            <w:pPr>
              <w:widowControl/>
              <w:spacing w:line="280" w:lineRule="exact"/>
              <w:ind w:firstLine="200" w:firstLineChars="100"/>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4</w:t>
            </w:r>
          </w:p>
        </w:tc>
        <w:tc>
          <w:tcPr>
            <w:tcW w:w="873" w:type="dxa"/>
            <w:vAlign w:val="center"/>
          </w:tcPr>
          <w:p w14:paraId="7B6A6079">
            <w:pPr>
              <w:widowControl/>
              <w:spacing w:line="280" w:lineRule="exact"/>
              <w:jc w:val="cente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2</w:t>
            </w:r>
          </w:p>
        </w:tc>
        <w:tc>
          <w:tcPr>
            <w:tcW w:w="1418" w:type="dxa"/>
            <w:vAlign w:val="center"/>
          </w:tcPr>
          <w:p w14:paraId="3B040F0C">
            <w:pPr>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还在施工中</w:t>
            </w:r>
            <w:r>
              <w:rPr>
                <w:rFonts w:hint="eastAsia" w:ascii="仿宋" w:hAnsi="仿宋" w:eastAsia="仿宋" w:cs="仿宋"/>
                <w:color w:val="000000"/>
                <w:kern w:val="0"/>
                <w:sz w:val="20"/>
                <w:szCs w:val="20"/>
                <w:highlight w:val="none"/>
                <w:lang w:eastAsia="zh-CN"/>
              </w:rPr>
              <w:t>，加快工程进度</w:t>
            </w:r>
          </w:p>
        </w:tc>
      </w:tr>
      <w:tr w14:paraId="747D0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227B8922">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78489B2A">
            <w:pPr>
              <w:widowControl/>
              <w:spacing w:line="280" w:lineRule="exact"/>
              <w:jc w:val="left"/>
              <w:rPr>
                <w:rFonts w:hint="eastAsia" w:ascii="仿宋" w:hAnsi="仿宋" w:eastAsia="仿宋" w:cs="仿宋"/>
                <w:color w:val="000000"/>
                <w:kern w:val="0"/>
                <w:sz w:val="20"/>
                <w:szCs w:val="20"/>
              </w:rPr>
            </w:pPr>
          </w:p>
        </w:tc>
        <w:tc>
          <w:tcPr>
            <w:tcW w:w="1080" w:type="dxa"/>
            <w:vMerge w:val="restart"/>
            <w:vAlign w:val="center"/>
          </w:tcPr>
          <w:p w14:paraId="147594D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149" w:type="dxa"/>
            <w:vAlign w:val="center"/>
          </w:tcPr>
          <w:p w14:paraId="7DDBDC3C">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紫铜棒合格率</w:t>
            </w:r>
          </w:p>
        </w:tc>
        <w:tc>
          <w:tcPr>
            <w:tcW w:w="1209" w:type="dxa"/>
            <w:vAlign w:val="center"/>
          </w:tcPr>
          <w:p w14:paraId="769CEBB8">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34" w:type="dxa"/>
            <w:vAlign w:val="center"/>
          </w:tcPr>
          <w:p w14:paraId="7D0BF0D8">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28" w:type="dxa"/>
            <w:vAlign w:val="center"/>
          </w:tcPr>
          <w:p w14:paraId="4E238A2D">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4</w:t>
            </w:r>
          </w:p>
        </w:tc>
        <w:tc>
          <w:tcPr>
            <w:tcW w:w="873" w:type="dxa"/>
            <w:vAlign w:val="center"/>
          </w:tcPr>
          <w:p w14:paraId="4478B5F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w:t>
            </w:r>
          </w:p>
        </w:tc>
        <w:tc>
          <w:tcPr>
            <w:tcW w:w="1418" w:type="dxa"/>
            <w:vAlign w:val="center"/>
          </w:tcPr>
          <w:p w14:paraId="65EA9C59">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30122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7ADCD32E">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049E833A">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501CF0C1">
            <w:pPr>
              <w:widowControl/>
              <w:spacing w:line="280" w:lineRule="exact"/>
              <w:jc w:val="center"/>
              <w:rPr>
                <w:rFonts w:hint="eastAsia" w:ascii="仿宋" w:hAnsi="仿宋" w:eastAsia="仿宋" w:cs="仿宋"/>
                <w:color w:val="000000"/>
                <w:kern w:val="0"/>
                <w:sz w:val="20"/>
                <w:szCs w:val="20"/>
              </w:rPr>
            </w:pPr>
          </w:p>
        </w:tc>
        <w:tc>
          <w:tcPr>
            <w:tcW w:w="1149" w:type="dxa"/>
            <w:vAlign w:val="center"/>
          </w:tcPr>
          <w:p w14:paraId="014D0E29">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绝缘铜绞线合格率</w:t>
            </w:r>
          </w:p>
        </w:tc>
        <w:tc>
          <w:tcPr>
            <w:tcW w:w="1209" w:type="dxa"/>
            <w:vAlign w:val="center"/>
          </w:tcPr>
          <w:p w14:paraId="0424D98B">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34" w:type="dxa"/>
            <w:vAlign w:val="center"/>
          </w:tcPr>
          <w:p w14:paraId="14BA6824">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28" w:type="dxa"/>
            <w:vAlign w:val="center"/>
          </w:tcPr>
          <w:p w14:paraId="4E39E65B">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4</w:t>
            </w:r>
          </w:p>
        </w:tc>
        <w:tc>
          <w:tcPr>
            <w:tcW w:w="873" w:type="dxa"/>
            <w:vAlign w:val="center"/>
          </w:tcPr>
          <w:p w14:paraId="1E47114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w:t>
            </w:r>
          </w:p>
        </w:tc>
        <w:tc>
          <w:tcPr>
            <w:tcW w:w="1418" w:type="dxa"/>
            <w:vAlign w:val="center"/>
          </w:tcPr>
          <w:p w14:paraId="276D8849">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014E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44BB49C0">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60091F0B">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58F8D019">
            <w:pPr>
              <w:widowControl/>
              <w:spacing w:line="280" w:lineRule="exact"/>
              <w:jc w:val="center"/>
              <w:rPr>
                <w:rFonts w:hint="eastAsia" w:ascii="仿宋" w:hAnsi="仿宋" w:eastAsia="仿宋" w:cs="仿宋"/>
                <w:color w:val="000000"/>
                <w:kern w:val="0"/>
                <w:sz w:val="20"/>
                <w:szCs w:val="20"/>
              </w:rPr>
            </w:pPr>
          </w:p>
        </w:tc>
        <w:tc>
          <w:tcPr>
            <w:tcW w:w="1149" w:type="dxa"/>
            <w:vAlign w:val="center"/>
          </w:tcPr>
          <w:p w14:paraId="5C542686">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离子接地棒合格率</w:t>
            </w:r>
          </w:p>
        </w:tc>
        <w:tc>
          <w:tcPr>
            <w:tcW w:w="1209" w:type="dxa"/>
            <w:vAlign w:val="center"/>
          </w:tcPr>
          <w:p w14:paraId="2356BB8C">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34" w:type="dxa"/>
            <w:vAlign w:val="center"/>
          </w:tcPr>
          <w:p w14:paraId="5165ADAB">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28" w:type="dxa"/>
            <w:vAlign w:val="center"/>
          </w:tcPr>
          <w:p w14:paraId="44C461B9">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  4</w:t>
            </w:r>
          </w:p>
        </w:tc>
        <w:tc>
          <w:tcPr>
            <w:tcW w:w="873" w:type="dxa"/>
            <w:vAlign w:val="center"/>
          </w:tcPr>
          <w:p w14:paraId="3CE5BF9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4</w:t>
            </w:r>
          </w:p>
        </w:tc>
        <w:tc>
          <w:tcPr>
            <w:tcW w:w="1418" w:type="dxa"/>
            <w:vAlign w:val="center"/>
          </w:tcPr>
          <w:p w14:paraId="54F2CA7B">
            <w:pPr>
              <w:widowControl/>
              <w:spacing w:line="280" w:lineRule="exact"/>
              <w:jc w:val="left"/>
              <w:rPr>
                <w:rFonts w:hint="eastAsia" w:ascii="仿宋" w:hAnsi="仿宋" w:eastAsia="仿宋" w:cs="仿宋"/>
                <w:color w:val="000000"/>
                <w:kern w:val="0"/>
                <w:sz w:val="20"/>
                <w:szCs w:val="20"/>
              </w:rPr>
            </w:pPr>
          </w:p>
        </w:tc>
      </w:tr>
      <w:tr w14:paraId="17C1C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4582BF3A">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43EEE751">
            <w:pPr>
              <w:widowControl/>
              <w:spacing w:line="280" w:lineRule="exact"/>
              <w:jc w:val="left"/>
              <w:rPr>
                <w:rFonts w:hint="eastAsia" w:ascii="仿宋" w:hAnsi="仿宋" w:eastAsia="仿宋" w:cs="仿宋"/>
                <w:color w:val="000000"/>
                <w:kern w:val="0"/>
                <w:sz w:val="20"/>
                <w:szCs w:val="20"/>
              </w:rPr>
            </w:pPr>
          </w:p>
        </w:tc>
        <w:tc>
          <w:tcPr>
            <w:tcW w:w="1080" w:type="dxa"/>
            <w:vMerge w:val="restart"/>
            <w:vAlign w:val="center"/>
          </w:tcPr>
          <w:p w14:paraId="3F2CEC2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149" w:type="dxa"/>
            <w:vAlign w:val="center"/>
          </w:tcPr>
          <w:p w14:paraId="396CC3A7">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项目开工时间</w:t>
            </w:r>
          </w:p>
        </w:tc>
        <w:tc>
          <w:tcPr>
            <w:tcW w:w="1209" w:type="dxa"/>
            <w:vAlign w:val="center"/>
          </w:tcPr>
          <w:p w14:paraId="1C9AA095">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2023年</w:t>
            </w:r>
          </w:p>
        </w:tc>
        <w:tc>
          <w:tcPr>
            <w:tcW w:w="1134" w:type="dxa"/>
            <w:vAlign w:val="center"/>
          </w:tcPr>
          <w:p w14:paraId="730F2F78">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28" w:type="dxa"/>
            <w:vAlign w:val="center"/>
          </w:tcPr>
          <w:p w14:paraId="289D0967">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4</w:t>
            </w:r>
          </w:p>
        </w:tc>
        <w:tc>
          <w:tcPr>
            <w:tcW w:w="873" w:type="dxa"/>
            <w:vAlign w:val="center"/>
          </w:tcPr>
          <w:p w14:paraId="2B7E832B">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4</w:t>
            </w:r>
          </w:p>
        </w:tc>
        <w:tc>
          <w:tcPr>
            <w:tcW w:w="1418" w:type="dxa"/>
            <w:vAlign w:val="center"/>
          </w:tcPr>
          <w:p w14:paraId="2F7ADECA">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39DE3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7F1134E0">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52267DF8">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29BB7208">
            <w:pPr>
              <w:widowControl/>
              <w:spacing w:line="280" w:lineRule="exact"/>
              <w:jc w:val="center"/>
              <w:rPr>
                <w:rFonts w:hint="eastAsia" w:ascii="仿宋" w:hAnsi="仿宋" w:eastAsia="仿宋" w:cs="仿宋"/>
                <w:color w:val="000000"/>
                <w:kern w:val="0"/>
                <w:sz w:val="20"/>
                <w:szCs w:val="20"/>
              </w:rPr>
            </w:pPr>
          </w:p>
        </w:tc>
        <w:tc>
          <w:tcPr>
            <w:tcW w:w="1149" w:type="dxa"/>
            <w:vAlign w:val="center"/>
          </w:tcPr>
          <w:p w14:paraId="171255B4">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项目材料验收时间</w:t>
            </w:r>
          </w:p>
        </w:tc>
        <w:tc>
          <w:tcPr>
            <w:tcW w:w="1209" w:type="dxa"/>
            <w:vAlign w:val="center"/>
          </w:tcPr>
          <w:p w14:paraId="356EA818">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2023年</w:t>
            </w:r>
          </w:p>
        </w:tc>
        <w:tc>
          <w:tcPr>
            <w:tcW w:w="1134" w:type="dxa"/>
            <w:vAlign w:val="center"/>
          </w:tcPr>
          <w:p w14:paraId="7133620E">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28" w:type="dxa"/>
            <w:vAlign w:val="center"/>
          </w:tcPr>
          <w:p w14:paraId="5B459BE9">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4</w:t>
            </w:r>
          </w:p>
        </w:tc>
        <w:tc>
          <w:tcPr>
            <w:tcW w:w="873" w:type="dxa"/>
            <w:vAlign w:val="center"/>
          </w:tcPr>
          <w:p w14:paraId="187B17FB">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4</w:t>
            </w:r>
          </w:p>
        </w:tc>
        <w:tc>
          <w:tcPr>
            <w:tcW w:w="1418" w:type="dxa"/>
            <w:vAlign w:val="center"/>
          </w:tcPr>
          <w:p w14:paraId="4553C5F6">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B0B5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1CE44931">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7CD89512">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1BDBBD31">
            <w:pPr>
              <w:widowControl/>
              <w:spacing w:line="280" w:lineRule="exact"/>
              <w:jc w:val="center"/>
              <w:rPr>
                <w:rFonts w:hint="eastAsia" w:ascii="仿宋" w:hAnsi="仿宋" w:eastAsia="仿宋" w:cs="仿宋"/>
                <w:color w:val="000000"/>
                <w:kern w:val="0"/>
                <w:sz w:val="20"/>
                <w:szCs w:val="20"/>
              </w:rPr>
            </w:pPr>
          </w:p>
        </w:tc>
        <w:tc>
          <w:tcPr>
            <w:tcW w:w="1149" w:type="dxa"/>
            <w:vAlign w:val="center"/>
          </w:tcPr>
          <w:p w14:paraId="57F5B8C5">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进度款支付时间</w:t>
            </w:r>
          </w:p>
        </w:tc>
        <w:tc>
          <w:tcPr>
            <w:tcW w:w="1209" w:type="dxa"/>
            <w:vAlign w:val="center"/>
          </w:tcPr>
          <w:p w14:paraId="08BE51B5">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2023年</w:t>
            </w:r>
          </w:p>
        </w:tc>
        <w:tc>
          <w:tcPr>
            <w:tcW w:w="1134" w:type="dxa"/>
            <w:vAlign w:val="center"/>
          </w:tcPr>
          <w:p w14:paraId="08515510">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28" w:type="dxa"/>
            <w:vAlign w:val="center"/>
          </w:tcPr>
          <w:p w14:paraId="33390527">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  4</w:t>
            </w:r>
          </w:p>
        </w:tc>
        <w:tc>
          <w:tcPr>
            <w:tcW w:w="873" w:type="dxa"/>
            <w:vAlign w:val="center"/>
          </w:tcPr>
          <w:p w14:paraId="2D8787CE">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  4</w:t>
            </w:r>
          </w:p>
        </w:tc>
        <w:tc>
          <w:tcPr>
            <w:tcW w:w="1418" w:type="dxa"/>
            <w:vAlign w:val="center"/>
          </w:tcPr>
          <w:p w14:paraId="4371AD1F">
            <w:pPr>
              <w:widowControl/>
              <w:spacing w:line="280" w:lineRule="exact"/>
              <w:jc w:val="left"/>
              <w:rPr>
                <w:rFonts w:hint="eastAsia" w:ascii="仿宋" w:hAnsi="仿宋" w:eastAsia="仿宋" w:cs="仿宋"/>
                <w:color w:val="000000"/>
                <w:kern w:val="0"/>
                <w:sz w:val="20"/>
                <w:szCs w:val="20"/>
              </w:rPr>
            </w:pPr>
          </w:p>
        </w:tc>
      </w:tr>
      <w:tr w14:paraId="2B0CF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7DE6679D">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0B21E8F3">
            <w:pPr>
              <w:widowControl/>
              <w:spacing w:line="280" w:lineRule="exact"/>
              <w:jc w:val="left"/>
              <w:rPr>
                <w:rFonts w:hint="eastAsia" w:ascii="仿宋" w:hAnsi="仿宋" w:eastAsia="仿宋" w:cs="仿宋"/>
                <w:color w:val="000000"/>
                <w:kern w:val="0"/>
                <w:sz w:val="20"/>
                <w:szCs w:val="20"/>
              </w:rPr>
            </w:pPr>
          </w:p>
        </w:tc>
        <w:tc>
          <w:tcPr>
            <w:tcW w:w="1080" w:type="dxa"/>
            <w:vMerge w:val="restart"/>
            <w:vAlign w:val="center"/>
          </w:tcPr>
          <w:p w14:paraId="2EF26FF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149" w:type="dxa"/>
            <w:vAlign w:val="center"/>
          </w:tcPr>
          <w:p w14:paraId="25BD5D33">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资金到位率</w:t>
            </w:r>
          </w:p>
        </w:tc>
        <w:tc>
          <w:tcPr>
            <w:tcW w:w="1209" w:type="dxa"/>
            <w:vAlign w:val="center"/>
          </w:tcPr>
          <w:p w14:paraId="6CAD2F89">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34" w:type="dxa"/>
            <w:vAlign w:val="center"/>
          </w:tcPr>
          <w:p w14:paraId="4B059BF2">
            <w:pP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87.43%</w:t>
            </w:r>
          </w:p>
        </w:tc>
        <w:tc>
          <w:tcPr>
            <w:tcW w:w="828" w:type="dxa"/>
            <w:vAlign w:val="center"/>
          </w:tcPr>
          <w:p w14:paraId="313C7273">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2</w:t>
            </w:r>
          </w:p>
        </w:tc>
        <w:tc>
          <w:tcPr>
            <w:tcW w:w="873" w:type="dxa"/>
            <w:vAlign w:val="center"/>
          </w:tcPr>
          <w:p w14:paraId="76FF6FF4">
            <w:pPr>
              <w:widowControl/>
              <w:spacing w:line="280" w:lineRule="exact"/>
              <w:jc w:val="left"/>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w:t>
            </w:r>
          </w:p>
        </w:tc>
        <w:tc>
          <w:tcPr>
            <w:tcW w:w="1418" w:type="dxa"/>
            <w:vAlign w:val="center"/>
          </w:tcPr>
          <w:p w14:paraId="4076DD1A">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9803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2ACD8F2E">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2AFAA676">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6CD0D308">
            <w:pPr>
              <w:widowControl/>
              <w:spacing w:line="280" w:lineRule="exact"/>
              <w:jc w:val="left"/>
              <w:rPr>
                <w:rFonts w:hint="eastAsia" w:ascii="仿宋" w:hAnsi="仿宋" w:eastAsia="仿宋" w:cs="仿宋"/>
                <w:color w:val="000000"/>
                <w:kern w:val="0"/>
                <w:sz w:val="20"/>
                <w:szCs w:val="20"/>
              </w:rPr>
            </w:pPr>
          </w:p>
        </w:tc>
        <w:tc>
          <w:tcPr>
            <w:tcW w:w="1149" w:type="dxa"/>
            <w:vAlign w:val="center"/>
          </w:tcPr>
          <w:p w14:paraId="223CD5C4">
            <w:pPr>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资金使用</w:t>
            </w:r>
            <w:r>
              <w:rPr>
                <w:rFonts w:hint="eastAsia" w:ascii="仿宋" w:hAnsi="仿宋" w:eastAsia="仿宋" w:cs="仿宋"/>
                <w:color w:val="000000"/>
                <w:kern w:val="0"/>
                <w:sz w:val="20"/>
                <w:szCs w:val="20"/>
                <w:lang w:eastAsia="zh-CN"/>
              </w:rPr>
              <w:t>率</w:t>
            </w:r>
          </w:p>
        </w:tc>
        <w:tc>
          <w:tcPr>
            <w:tcW w:w="1209" w:type="dxa"/>
            <w:vAlign w:val="center"/>
          </w:tcPr>
          <w:p w14:paraId="12E17D6C">
            <w:pPr>
              <w:rPr>
                <w:rFonts w:hint="default" w:ascii="仿宋" w:hAnsi="仿宋" w:eastAsia="仿宋" w:cs="仿宋"/>
                <w:color w:val="000000"/>
                <w:kern w:val="0"/>
                <w:sz w:val="20"/>
                <w:szCs w:val="20"/>
                <w:highlight w:val="none"/>
                <w:lang w:val="en-US" w:eastAsia="zh-CN"/>
              </w:rPr>
            </w:pPr>
            <w:r>
              <w:rPr>
                <w:rFonts w:hint="eastAsia" w:ascii="仿宋" w:hAnsi="仿宋" w:eastAsia="仿宋" w:cs="仿宋"/>
                <w:color w:val="000000"/>
                <w:kern w:val="0"/>
                <w:sz w:val="20"/>
                <w:szCs w:val="20"/>
                <w:highlight w:val="none"/>
                <w:lang w:val="en-US" w:eastAsia="zh-CN"/>
              </w:rPr>
              <w:t>100%</w:t>
            </w:r>
          </w:p>
        </w:tc>
        <w:tc>
          <w:tcPr>
            <w:tcW w:w="1134" w:type="dxa"/>
            <w:vAlign w:val="center"/>
          </w:tcPr>
          <w:p w14:paraId="6F955B11">
            <w:pPr>
              <w:rPr>
                <w:rFonts w:hint="default" w:ascii="仿宋" w:hAnsi="仿宋" w:eastAsia="仿宋" w:cs="仿宋"/>
                <w:color w:val="000000"/>
                <w:kern w:val="0"/>
                <w:sz w:val="20"/>
                <w:szCs w:val="20"/>
                <w:highlight w:val="none"/>
                <w:lang w:val="en-US"/>
              </w:rPr>
            </w:pPr>
            <w:r>
              <w:rPr>
                <w:rFonts w:hint="eastAsia" w:ascii="仿宋" w:hAnsi="仿宋" w:eastAsia="仿宋" w:cs="仿宋"/>
                <w:color w:val="000000"/>
                <w:kern w:val="0"/>
                <w:sz w:val="20"/>
                <w:szCs w:val="20"/>
                <w:highlight w:val="none"/>
                <w:lang w:val="en-US" w:eastAsia="zh-CN"/>
              </w:rPr>
              <w:t>22.28%</w:t>
            </w:r>
          </w:p>
        </w:tc>
        <w:tc>
          <w:tcPr>
            <w:tcW w:w="828" w:type="dxa"/>
            <w:vAlign w:val="center"/>
          </w:tcPr>
          <w:p w14:paraId="4FD39C47">
            <w:pPr>
              <w:widowControl/>
              <w:spacing w:line="280" w:lineRule="exact"/>
              <w:jc w:val="left"/>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　2</w:t>
            </w:r>
          </w:p>
        </w:tc>
        <w:tc>
          <w:tcPr>
            <w:tcW w:w="873" w:type="dxa"/>
            <w:vAlign w:val="center"/>
          </w:tcPr>
          <w:p w14:paraId="041F2870">
            <w:pPr>
              <w:widowControl/>
              <w:spacing w:line="280" w:lineRule="exact"/>
              <w:jc w:val="left"/>
              <w:rPr>
                <w:rFonts w:hint="eastAsia" w:ascii="仿宋" w:hAnsi="仿宋" w:eastAsia="仿宋" w:cs="仿宋"/>
                <w:color w:val="000000"/>
                <w:kern w:val="0"/>
                <w:sz w:val="20"/>
                <w:szCs w:val="20"/>
                <w:highlight w:val="none"/>
                <w:lang w:eastAsia="zh-CN"/>
              </w:rPr>
            </w:pPr>
            <w:r>
              <w:rPr>
                <w:rFonts w:hint="eastAsia" w:ascii="仿宋" w:hAnsi="仿宋" w:eastAsia="仿宋" w:cs="仿宋"/>
                <w:color w:val="000000"/>
                <w:kern w:val="0"/>
                <w:sz w:val="20"/>
                <w:szCs w:val="20"/>
                <w:highlight w:val="none"/>
              </w:rPr>
              <w:t>　</w:t>
            </w:r>
            <w:r>
              <w:rPr>
                <w:rFonts w:hint="eastAsia" w:ascii="仿宋" w:hAnsi="仿宋" w:eastAsia="仿宋" w:cs="仿宋"/>
                <w:color w:val="000000"/>
                <w:kern w:val="0"/>
                <w:sz w:val="20"/>
                <w:szCs w:val="20"/>
                <w:highlight w:val="none"/>
                <w:lang w:val="en-US" w:eastAsia="zh-CN"/>
              </w:rPr>
              <w:t>0</w:t>
            </w:r>
          </w:p>
        </w:tc>
        <w:tc>
          <w:tcPr>
            <w:tcW w:w="1418" w:type="dxa"/>
            <w:vAlign w:val="center"/>
          </w:tcPr>
          <w:p w14:paraId="3A5EFF98">
            <w:pPr>
              <w:widowControl/>
              <w:spacing w:line="280" w:lineRule="exact"/>
              <w:jc w:val="left"/>
              <w:rPr>
                <w:rFonts w:hint="eastAsia" w:ascii="仿宋" w:hAnsi="仿宋" w:eastAsia="仿宋" w:cs="仿宋"/>
                <w:color w:val="000000"/>
                <w:kern w:val="0"/>
                <w:sz w:val="20"/>
                <w:szCs w:val="20"/>
                <w:highlight w:val="none"/>
                <w:lang w:eastAsia="zh-CN"/>
              </w:rPr>
            </w:pPr>
            <w:r>
              <w:rPr>
                <w:rFonts w:hint="eastAsia" w:ascii="仿宋" w:hAnsi="仿宋" w:eastAsia="仿宋" w:cs="仿宋"/>
                <w:color w:val="000000"/>
                <w:kern w:val="0"/>
                <w:sz w:val="20"/>
                <w:szCs w:val="20"/>
                <w:highlight w:val="none"/>
                <w:lang w:eastAsia="zh-CN"/>
              </w:rPr>
              <w:t>加快施工，及时支付</w:t>
            </w:r>
          </w:p>
        </w:tc>
      </w:tr>
      <w:tr w14:paraId="6F2B3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77109884">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52B8040D">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7880498D">
            <w:pPr>
              <w:widowControl/>
              <w:spacing w:line="280" w:lineRule="exact"/>
              <w:jc w:val="left"/>
              <w:rPr>
                <w:rFonts w:hint="eastAsia" w:ascii="仿宋" w:hAnsi="仿宋" w:eastAsia="仿宋" w:cs="仿宋"/>
                <w:color w:val="000000"/>
                <w:kern w:val="0"/>
                <w:sz w:val="20"/>
                <w:szCs w:val="20"/>
              </w:rPr>
            </w:pPr>
          </w:p>
        </w:tc>
        <w:tc>
          <w:tcPr>
            <w:tcW w:w="1149" w:type="dxa"/>
            <w:vAlign w:val="center"/>
          </w:tcPr>
          <w:p w14:paraId="6C929676">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成本控制</w:t>
            </w:r>
          </w:p>
        </w:tc>
        <w:tc>
          <w:tcPr>
            <w:tcW w:w="1209" w:type="dxa"/>
            <w:vAlign w:val="center"/>
          </w:tcPr>
          <w:p w14:paraId="4EA330F7">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≤实际经费下达数</w:t>
            </w:r>
          </w:p>
        </w:tc>
        <w:tc>
          <w:tcPr>
            <w:tcW w:w="1134" w:type="dxa"/>
            <w:vAlign w:val="center"/>
          </w:tcPr>
          <w:p w14:paraId="659A568F">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28" w:type="dxa"/>
            <w:vAlign w:val="center"/>
          </w:tcPr>
          <w:p w14:paraId="6CF79C30">
            <w:pPr>
              <w:widowControl/>
              <w:spacing w:line="280" w:lineRule="exact"/>
              <w:ind w:firstLine="200" w:firstLineChars="10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w:t>
            </w:r>
          </w:p>
        </w:tc>
        <w:tc>
          <w:tcPr>
            <w:tcW w:w="873" w:type="dxa"/>
            <w:vAlign w:val="center"/>
          </w:tcPr>
          <w:p w14:paraId="722FE162">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  2</w:t>
            </w:r>
          </w:p>
        </w:tc>
        <w:tc>
          <w:tcPr>
            <w:tcW w:w="1418" w:type="dxa"/>
            <w:vAlign w:val="center"/>
          </w:tcPr>
          <w:p w14:paraId="31E667DC">
            <w:pPr>
              <w:widowControl/>
              <w:spacing w:line="280" w:lineRule="exact"/>
              <w:jc w:val="left"/>
              <w:rPr>
                <w:rFonts w:hint="eastAsia" w:ascii="仿宋" w:hAnsi="仿宋" w:eastAsia="仿宋" w:cs="仿宋"/>
                <w:color w:val="000000"/>
                <w:kern w:val="0"/>
                <w:sz w:val="20"/>
                <w:szCs w:val="20"/>
              </w:rPr>
            </w:pPr>
          </w:p>
        </w:tc>
      </w:tr>
      <w:tr w14:paraId="19900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67A1A3B3">
            <w:pPr>
              <w:widowControl/>
              <w:spacing w:line="280" w:lineRule="exact"/>
              <w:jc w:val="left"/>
              <w:rPr>
                <w:rFonts w:hint="eastAsia" w:ascii="仿宋" w:hAnsi="仿宋" w:eastAsia="仿宋" w:cs="仿宋"/>
                <w:color w:val="000000"/>
                <w:kern w:val="0"/>
                <w:sz w:val="20"/>
                <w:szCs w:val="20"/>
              </w:rPr>
            </w:pPr>
          </w:p>
        </w:tc>
        <w:tc>
          <w:tcPr>
            <w:tcW w:w="1080" w:type="dxa"/>
            <w:vMerge w:val="restart"/>
            <w:vAlign w:val="center"/>
          </w:tcPr>
          <w:p w14:paraId="3F120822">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31CECEBA">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080" w:type="dxa"/>
            <w:vMerge w:val="restart"/>
            <w:vAlign w:val="center"/>
          </w:tcPr>
          <w:p w14:paraId="65DD8F4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7FCDC112">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vAlign w:val="center"/>
          </w:tcPr>
          <w:p w14:paraId="1374D789">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服务当地旅游经济</w:t>
            </w:r>
          </w:p>
        </w:tc>
        <w:tc>
          <w:tcPr>
            <w:tcW w:w="1209" w:type="dxa"/>
            <w:vAlign w:val="center"/>
          </w:tcPr>
          <w:p w14:paraId="047D7053">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34" w:type="dxa"/>
            <w:vAlign w:val="center"/>
          </w:tcPr>
          <w:p w14:paraId="5B4AD38D">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28" w:type="dxa"/>
            <w:vAlign w:val="center"/>
          </w:tcPr>
          <w:p w14:paraId="60A2B94A">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5</w:t>
            </w:r>
          </w:p>
        </w:tc>
        <w:tc>
          <w:tcPr>
            <w:tcW w:w="873" w:type="dxa"/>
            <w:vAlign w:val="center"/>
          </w:tcPr>
          <w:p w14:paraId="5DAB2964">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5</w:t>
            </w:r>
          </w:p>
        </w:tc>
        <w:tc>
          <w:tcPr>
            <w:tcW w:w="1418" w:type="dxa"/>
            <w:vAlign w:val="center"/>
          </w:tcPr>
          <w:p w14:paraId="0A5FD58C">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BB11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4513DA26">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25A4C2D1">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3CD28BB1">
            <w:pPr>
              <w:widowControl/>
              <w:spacing w:line="280" w:lineRule="exact"/>
              <w:jc w:val="center"/>
              <w:rPr>
                <w:rFonts w:hint="eastAsia" w:ascii="仿宋" w:hAnsi="仿宋" w:eastAsia="仿宋" w:cs="仿宋"/>
                <w:color w:val="000000"/>
                <w:kern w:val="0"/>
                <w:sz w:val="20"/>
                <w:szCs w:val="20"/>
              </w:rPr>
            </w:pPr>
          </w:p>
        </w:tc>
        <w:tc>
          <w:tcPr>
            <w:tcW w:w="1149" w:type="dxa"/>
            <w:vAlign w:val="center"/>
          </w:tcPr>
          <w:p w14:paraId="7445CEE1">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打造旅游目的地</w:t>
            </w:r>
          </w:p>
        </w:tc>
        <w:tc>
          <w:tcPr>
            <w:tcW w:w="1209" w:type="dxa"/>
            <w:vAlign w:val="center"/>
          </w:tcPr>
          <w:p w14:paraId="351E75D1">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34" w:type="dxa"/>
            <w:vAlign w:val="center"/>
          </w:tcPr>
          <w:p w14:paraId="6C9A91F0">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28" w:type="dxa"/>
            <w:vAlign w:val="center"/>
          </w:tcPr>
          <w:p w14:paraId="00DD9B2E">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5</w:t>
            </w:r>
          </w:p>
        </w:tc>
        <w:tc>
          <w:tcPr>
            <w:tcW w:w="873" w:type="dxa"/>
            <w:vAlign w:val="center"/>
          </w:tcPr>
          <w:p w14:paraId="5096D1E8">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5</w:t>
            </w:r>
          </w:p>
        </w:tc>
        <w:tc>
          <w:tcPr>
            <w:tcW w:w="1418" w:type="dxa"/>
            <w:vAlign w:val="center"/>
          </w:tcPr>
          <w:p w14:paraId="44FF92D7">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F31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735C122A">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2E31B95D">
            <w:pPr>
              <w:widowControl/>
              <w:spacing w:line="280" w:lineRule="exact"/>
              <w:jc w:val="left"/>
              <w:rPr>
                <w:rFonts w:hint="eastAsia" w:ascii="仿宋" w:hAnsi="仿宋" w:eastAsia="仿宋" w:cs="仿宋"/>
                <w:color w:val="000000"/>
                <w:kern w:val="0"/>
                <w:sz w:val="20"/>
                <w:szCs w:val="20"/>
              </w:rPr>
            </w:pPr>
          </w:p>
        </w:tc>
        <w:tc>
          <w:tcPr>
            <w:tcW w:w="1080" w:type="dxa"/>
            <w:vAlign w:val="center"/>
          </w:tcPr>
          <w:p w14:paraId="44A0F20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6D72278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vAlign w:val="center"/>
          </w:tcPr>
          <w:p w14:paraId="4F631ADE">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园区安全</w:t>
            </w:r>
          </w:p>
        </w:tc>
        <w:tc>
          <w:tcPr>
            <w:tcW w:w="1209" w:type="dxa"/>
            <w:vAlign w:val="center"/>
          </w:tcPr>
          <w:p w14:paraId="280A92BD">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34" w:type="dxa"/>
            <w:vAlign w:val="center"/>
          </w:tcPr>
          <w:p w14:paraId="38AC1934">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28" w:type="dxa"/>
            <w:vAlign w:val="center"/>
          </w:tcPr>
          <w:p w14:paraId="3D4FB0BD">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5</w:t>
            </w:r>
          </w:p>
        </w:tc>
        <w:tc>
          <w:tcPr>
            <w:tcW w:w="873" w:type="dxa"/>
            <w:vAlign w:val="center"/>
          </w:tcPr>
          <w:p w14:paraId="353C1C20">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5</w:t>
            </w:r>
          </w:p>
        </w:tc>
        <w:tc>
          <w:tcPr>
            <w:tcW w:w="1418" w:type="dxa"/>
            <w:vAlign w:val="center"/>
          </w:tcPr>
          <w:p w14:paraId="5E0FCCD1">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0102E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7A393E17">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010FFACF">
            <w:pPr>
              <w:widowControl/>
              <w:spacing w:line="280" w:lineRule="exact"/>
              <w:jc w:val="left"/>
              <w:rPr>
                <w:rFonts w:hint="eastAsia" w:ascii="仿宋" w:hAnsi="仿宋" w:eastAsia="仿宋" w:cs="仿宋"/>
                <w:color w:val="000000"/>
                <w:kern w:val="0"/>
                <w:sz w:val="20"/>
                <w:szCs w:val="20"/>
              </w:rPr>
            </w:pPr>
          </w:p>
        </w:tc>
        <w:tc>
          <w:tcPr>
            <w:tcW w:w="1080" w:type="dxa"/>
            <w:vAlign w:val="center"/>
          </w:tcPr>
          <w:p w14:paraId="5D1593D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1FD490B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vAlign w:val="center"/>
          </w:tcPr>
          <w:p w14:paraId="38C1A9D5">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不影响环境风貌</w:t>
            </w:r>
          </w:p>
        </w:tc>
        <w:tc>
          <w:tcPr>
            <w:tcW w:w="1209" w:type="dxa"/>
            <w:vAlign w:val="center"/>
          </w:tcPr>
          <w:p w14:paraId="789D1DED">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34" w:type="dxa"/>
            <w:vAlign w:val="center"/>
          </w:tcPr>
          <w:p w14:paraId="3E920D3A">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28" w:type="dxa"/>
            <w:vAlign w:val="center"/>
          </w:tcPr>
          <w:p w14:paraId="041234ED">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5</w:t>
            </w:r>
          </w:p>
        </w:tc>
        <w:tc>
          <w:tcPr>
            <w:tcW w:w="873" w:type="dxa"/>
            <w:vAlign w:val="center"/>
          </w:tcPr>
          <w:p w14:paraId="49852D2E">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5</w:t>
            </w:r>
          </w:p>
        </w:tc>
        <w:tc>
          <w:tcPr>
            <w:tcW w:w="1418" w:type="dxa"/>
            <w:vAlign w:val="center"/>
          </w:tcPr>
          <w:p w14:paraId="152329AF">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C0A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2DA9F32E">
            <w:pPr>
              <w:widowControl/>
              <w:spacing w:line="280" w:lineRule="exact"/>
              <w:jc w:val="center"/>
              <w:rPr>
                <w:rFonts w:hint="eastAsia" w:ascii="仿宋" w:hAnsi="仿宋" w:eastAsia="仿宋" w:cs="仿宋"/>
                <w:color w:val="000000"/>
                <w:kern w:val="0"/>
                <w:sz w:val="20"/>
                <w:szCs w:val="20"/>
              </w:rPr>
            </w:pPr>
            <w:bookmarkStart w:id="0" w:name="_Hlk173832963"/>
          </w:p>
        </w:tc>
        <w:tc>
          <w:tcPr>
            <w:tcW w:w="1080" w:type="dxa"/>
            <w:vMerge w:val="continue"/>
            <w:vAlign w:val="center"/>
          </w:tcPr>
          <w:p w14:paraId="6BE2E76D">
            <w:pPr>
              <w:widowControl/>
              <w:spacing w:line="280" w:lineRule="exact"/>
              <w:jc w:val="left"/>
              <w:rPr>
                <w:rFonts w:hint="eastAsia" w:ascii="仿宋" w:hAnsi="仿宋" w:eastAsia="仿宋" w:cs="仿宋"/>
                <w:color w:val="000000"/>
                <w:kern w:val="0"/>
                <w:sz w:val="20"/>
                <w:szCs w:val="20"/>
              </w:rPr>
            </w:pPr>
          </w:p>
        </w:tc>
        <w:tc>
          <w:tcPr>
            <w:tcW w:w="1080" w:type="dxa"/>
            <w:vAlign w:val="center"/>
          </w:tcPr>
          <w:p w14:paraId="7AD537E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149" w:type="dxa"/>
            <w:vAlign w:val="center"/>
          </w:tcPr>
          <w:p w14:paraId="60CDB988">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提高社会影响力</w:t>
            </w:r>
          </w:p>
        </w:tc>
        <w:tc>
          <w:tcPr>
            <w:tcW w:w="1209" w:type="dxa"/>
            <w:vAlign w:val="center"/>
          </w:tcPr>
          <w:p w14:paraId="4F538DEB">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显著提升</w:t>
            </w:r>
          </w:p>
        </w:tc>
        <w:tc>
          <w:tcPr>
            <w:tcW w:w="1134" w:type="dxa"/>
            <w:vAlign w:val="center"/>
          </w:tcPr>
          <w:p w14:paraId="53783F58">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显著提升</w:t>
            </w:r>
          </w:p>
        </w:tc>
        <w:tc>
          <w:tcPr>
            <w:tcW w:w="828" w:type="dxa"/>
            <w:vAlign w:val="center"/>
          </w:tcPr>
          <w:p w14:paraId="4722FE0B">
            <w:pPr>
              <w:widowControl/>
              <w:spacing w:line="280" w:lineRule="exact"/>
              <w:ind w:firstLine="200" w:firstLineChars="10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　</w:t>
            </w:r>
          </w:p>
        </w:tc>
        <w:tc>
          <w:tcPr>
            <w:tcW w:w="873" w:type="dxa"/>
            <w:vAlign w:val="center"/>
          </w:tcPr>
          <w:p w14:paraId="2478B521">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w:t>
            </w:r>
          </w:p>
        </w:tc>
        <w:tc>
          <w:tcPr>
            <w:tcW w:w="1418" w:type="dxa"/>
            <w:vAlign w:val="center"/>
          </w:tcPr>
          <w:p w14:paraId="45C97141">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bookmarkEnd w:id="0"/>
      <w:tr w14:paraId="7EDC8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5D256F30">
            <w:pPr>
              <w:widowControl/>
              <w:spacing w:line="280" w:lineRule="exact"/>
              <w:jc w:val="left"/>
              <w:rPr>
                <w:rFonts w:hint="eastAsia" w:ascii="仿宋" w:hAnsi="仿宋" w:eastAsia="仿宋" w:cs="仿宋"/>
                <w:color w:val="000000"/>
                <w:kern w:val="0"/>
                <w:sz w:val="20"/>
                <w:szCs w:val="20"/>
              </w:rPr>
            </w:pPr>
          </w:p>
        </w:tc>
        <w:tc>
          <w:tcPr>
            <w:tcW w:w="1080" w:type="dxa"/>
            <w:vMerge w:val="restart"/>
            <w:vAlign w:val="center"/>
          </w:tcPr>
          <w:p w14:paraId="0027762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04ED923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290EF0B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080" w:type="dxa"/>
            <w:vMerge w:val="restart"/>
            <w:vAlign w:val="center"/>
          </w:tcPr>
          <w:p w14:paraId="3D368A0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149" w:type="dxa"/>
            <w:vAlign w:val="center"/>
          </w:tcPr>
          <w:p w14:paraId="705A938F">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参观游客满意度</w:t>
            </w:r>
          </w:p>
        </w:tc>
        <w:tc>
          <w:tcPr>
            <w:tcW w:w="1209" w:type="dxa"/>
            <w:vAlign w:val="center"/>
          </w:tcPr>
          <w:p w14:paraId="5DDBC916">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34" w:type="dxa"/>
            <w:vAlign w:val="center"/>
          </w:tcPr>
          <w:p w14:paraId="53BE3FCF">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28" w:type="dxa"/>
            <w:vAlign w:val="center"/>
          </w:tcPr>
          <w:p w14:paraId="44A2DAD7">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5</w:t>
            </w:r>
          </w:p>
        </w:tc>
        <w:tc>
          <w:tcPr>
            <w:tcW w:w="873" w:type="dxa"/>
            <w:vAlign w:val="center"/>
          </w:tcPr>
          <w:p w14:paraId="36B24080">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5</w:t>
            </w:r>
          </w:p>
        </w:tc>
        <w:tc>
          <w:tcPr>
            <w:tcW w:w="1418" w:type="dxa"/>
            <w:vAlign w:val="center"/>
          </w:tcPr>
          <w:p w14:paraId="6F613288">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DC8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6D7D3612">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7790523D">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76AFD82E">
            <w:pPr>
              <w:widowControl/>
              <w:spacing w:line="280" w:lineRule="exact"/>
              <w:jc w:val="left"/>
              <w:rPr>
                <w:rFonts w:hint="eastAsia" w:ascii="仿宋" w:hAnsi="仿宋" w:eastAsia="仿宋" w:cs="仿宋"/>
                <w:color w:val="000000"/>
                <w:kern w:val="0"/>
                <w:sz w:val="20"/>
                <w:szCs w:val="20"/>
              </w:rPr>
            </w:pPr>
          </w:p>
        </w:tc>
        <w:tc>
          <w:tcPr>
            <w:tcW w:w="1149" w:type="dxa"/>
            <w:vAlign w:val="center"/>
          </w:tcPr>
          <w:p w14:paraId="53055DD0">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建设单位满意度</w:t>
            </w:r>
          </w:p>
        </w:tc>
        <w:tc>
          <w:tcPr>
            <w:tcW w:w="1209" w:type="dxa"/>
            <w:vAlign w:val="center"/>
          </w:tcPr>
          <w:p w14:paraId="0FECCD35">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34" w:type="dxa"/>
            <w:vAlign w:val="center"/>
          </w:tcPr>
          <w:p w14:paraId="0A89192A">
            <w:pP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28" w:type="dxa"/>
            <w:vAlign w:val="center"/>
          </w:tcPr>
          <w:p w14:paraId="4897087E">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5</w:t>
            </w:r>
          </w:p>
        </w:tc>
        <w:tc>
          <w:tcPr>
            <w:tcW w:w="873" w:type="dxa"/>
            <w:vAlign w:val="center"/>
          </w:tcPr>
          <w:p w14:paraId="652DB85E">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5</w:t>
            </w:r>
          </w:p>
        </w:tc>
        <w:tc>
          <w:tcPr>
            <w:tcW w:w="1418" w:type="dxa"/>
            <w:vAlign w:val="center"/>
          </w:tcPr>
          <w:p w14:paraId="2606CBE3">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AEE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vAlign w:val="center"/>
          </w:tcPr>
          <w:p w14:paraId="3FDDDDD5">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828" w:type="dxa"/>
            <w:vAlign w:val="center"/>
          </w:tcPr>
          <w:p w14:paraId="3D94162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73" w:type="dxa"/>
            <w:vAlign w:val="center"/>
          </w:tcPr>
          <w:p w14:paraId="7522FE4E">
            <w:pPr>
              <w:widowControl/>
              <w:spacing w:line="280" w:lineRule="exact"/>
              <w:jc w:val="left"/>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83.23</w:t>
            </w:r>
          </w:p>
        </w:tc>
        <w:tc>
          <w:tcPr>
            <w:tcW w:w="1418" w:type="dxa"/>
            <w:vAlign w:val="center"/>
          </w:tcPr>
          <w:p w14:paraId="5A82E740">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bl>
    <w:p w14:paraId="59887F66">
      <w:pPr>
        <w:widowControl/>
        <w:tabs>
          <w:tab w:val="left" w:pos="3611"/>
          <w:tab w:val="left" w:pos="4791"/>
          <w:tab w:val="left" w:pos="5951"/>
          <w:tab w:val="left" w:pos="7071"/>
          <w:tab w:val="left" w:pos="8191"/>
          <w:tab w:val="left" w:pos="9311"/>
        </w:tabs>
        <w:snapToGrid w:val="0"/>
        <w:spacing w:line="440" w:lineRule="atLeast"/>
        <w:jc w:val="center"/>
        <w:rPr>
          <w:rFonts w:hint="eastAsia" w:ascii="方正小标宋_GBK" w:hAnsi="方正小标宋_GBK" w:eastAsia="方正小标宋_GBK" w:cs="方正小标宋_GBK"/>
          <w:color w:val="000000"/>
          <w:kern w:val="0"/>
          <w:sz w:val="28"/>
          <w:szCs w:val="28"/>
          <w:shd w:val="clear" w:color="auto" w:fill="FFFFFF"/>
        </w:rPr>
      </w:pPr>
    </w:p>
    <w:p w14:paraId="648C5CF8">
      <w:pPr>
        <w:spacing w:line="600" w:lineRule="exact"/>
        <w:rPr>
          <w:rFonts w:eastAsia="仿宋_GB2312"/>
        </w:rPr>
      </w:pPr>
      <w:r>
        <w:rPr>
          <w:rFonts w:ascii="Times New Roman" w:hAnsi="Times New Roman" w:eastAsia="仿宋_GB2312" w:cs="Times New Roman"/>
          <w:color w:val="000000"/>
          <w:kern w:val="0"/>
          <w:sz w:val="24"/>
        </w:rPr>
        <w:t>填表人：</w:t>
      </w:r>
      <w:r>
        <w:rPr>
          <w:rFonts w:hint="eastAsia" w:ascii="Times New Roman" w:hAnsi="Times New Roman" w:eastAsia="仿宋_GB2312" w:cs="Times New Roman"/>
          <w:color w:val="000000"/>
          <w:kern w:val="0"/>
          <w:sz w:val="24"/>
        </w:rPr>
        <w:t xml:space="preserve">谢军   </w:t>
      </w:r>
      <w:r>
        <w:rPr>
          <w:rFonts w:ascii="Times New Roman" w:hAnsi="Times New Roman" w:eastAsia="仿宋_GB2312" w:cs="Times New Roman"/>
          <w:color w:val="000000"/>
          <w:kern w:val="0"/>
          <w:sz w:val="24"/>
        </w:rPr>
        <w:t xml:space="preserve"> 填报日期：</w:t>
      </w:r>
      <w:r>
        <w:rPr>
          <w:rFonts w:hint="eastAsia" w:ascii="Times New Roman" w:hAnsi="Times New Roman" w:eastAsia="仿宋_GB2312" w:cs="Times New Roman"/>
          <w:color w:val="000000"/>
          <w:kern w:val="0"/>
          <w:sz w:val="24"/>
        </w:rPr>
        <w:t>2024年6月30日</w:t>
      </w:r>
      <w:r>
        <w:rPr>
          <w:rFonts w:ascii="Times New Roman" w:hAnsi="Times New Roman" w:eastAsia="仿宋_GB2312" w:cs="Times New Roman"/>
          <w:color w:val="000000"/>
          <w:kern w:val="0"/>
          <w:sz w:val="24"/>
        </w:rPr>
        <w:t xml:space="preserve">  </w:t>
      </w:r>
      <w:r>
        <w:rPr>
          <w:rFonts w:hint="eastAsia" w:ascii="Times New Roman" w:hAnsi="Times New Roman" w:eastAsia="仿宋_GB2312" w:cs="Times New Roman"/>
          <w:color w:val="000000"/>
          <w:kern w:val="0"/>
          <w:sz w:val="24"/>
        </w:rPr>
        <w:t xml:space="preserve">      </w:t>
      </w:r>
      <w:r>
        <w:rPr>
          <w:rFonts w:ascii="Times New Roman" w:hAnsi="Times New Roman" w:eastAsia="仿宋_GB2312" w:cs="Times New Roman"/>
          <w:color w:val="000000"/>
          <w:kern w:val="0"/>
          <w:sz w:val="24"/>
        </w:rPr>
        <w:t>联系电话：</w:t>
      </w:r>
      <w:r>
        <w:rPr>
          <w:rFonts w:hint="eastAsia" w:ascii="Times New Roman" w:hAnsi="Times New Roman" w:eastAsia="仿宋_GB2312" w:cs="Times New Roman"/>
          <w:color w:val="000000"/>
          <w:kern w:val="0"/>
          <w:sz w:val="24"/>
        </w:rPr>
        <w:t xml:space="preserve"> 13637454573</w:t>
      </w:r>
    </w:p>
    <w:p w14:paraId="77D78C07">
      <w:pPr>
        <w:ind w:firstLine="160" w:firstLineChars="50"/>
        <w:rPr>
          <w:sz w:val="32"/>
          <w:szCs w:val="32"/>
        </w:rPr>
      </w:pPr>
    </w:p>
    <w:p w14:paraId="2323E500">
      <w:pPr>
        <w:spacing w:line="620" w:lineRule="exact"/>
        <w:ind w:firstLine="640" w:firstLineChars="200"/>
        <w:rPr>
          <w:rFonts w:hint="eastAsia" w:ascii="仿宋" w:hAnsi="仿宋" w:eastAsia="仿宋" w:cs="仿宋"/>
          <w:sz w:val="32"/>
          <w:szCs w:val="32"/>
        </w:rPr>
      </w:pPr>
    </w:p>
    <w:p w14:paraId="3314FF9A">
      <w:pPr>
        <w:spacing w:line="620" w:lineRule="exact"/>
        <w:ind w:firstLine="640" w:firstLineChars="200"/>
        <w:rPr>
          <w:rFonts w:hint="eastAsia" w:ascii="仿宋" w:hAnsi="仿宋" w:eastAsia="仿宋" w:cs="仿宋"/>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yYjM1MTNhYTRhMjAxOGJhMzcyZmQwMWM5YjBkNDcifQ=="/>
  </w:docVars>
  <w:rsids>
    <w:rsidRoot w:val="00AB24A1"/>
    <w:rsid w:val="000067A5"/>
    <w:rsid w:val="00023EF0"/>
    <w:rsid w:val="000277E0"/>
    <w:rsid w:val="00040626"/>
    <w:rsid w:val="00040907"/>
    <w:rsid w:val="00041900"/>
    <w:rsid w:val="000505B1"/>
    <w:rsid w:val="000549DE"/>
    <w:rsid w:val="00063D8C"/>
    <w:rsid w:val="00070B98"/>
    <w:rsid w:val="00072226"/>
    <w:rsid w:val="00076C85"/>
    <w:rsid w:val="00091220"/>
    <w:rsid w:val="00091965"/>
    <w:rsid w:val="00095035"/>
    <w:rsid w:val="00095B6F"/>
    <w:rsid w:val="00097ED3"/>
    <w:rsid w:val="000A34A5"/>
    <w:rsid w:val="000A4011"/>
    <w:rsid w:val="000A56CE"/>
    <w:rsid w:val="000B00F3"/>
    <w:rsid w:val="000B0A5B"/>
    <w:rsid w:val="000C766F"/>
    <w:rsid w:val="000D235F"/>
    <w:rsid w:val="000E1E2C"/>
    <w:rsid w:val="000F5647"/>
    <w:rsid w:val="00100857"/>
    <w:rsid w:val="00100A8E"/>
    <w:rsid w:val="001034E4"/>
    <w:rsid w:val="0011061F"/>
    <w:rsid w:val="001172D5"/>
    <w:rsid w:val="00117EA3"/>
    <w:rsid w:val="001226AD"/>
    <w:rsid w:val="00126D06"/>
    <w:rsid w:val="0013475E"/>
    <w:rsid w:val="00147D6D"/>
    <w:rsid w:val="00150CCA"/>
    <w:rsid w:val="0015659E"/>
    <w:rsid w:val="0016673C"/>
    <w:rsid w:val="0017449B"/>
    <w:rsid w:val="001773F4"/>
    <w:rsid w:val="00185056"/>
    <w:rsid w:val="001916B9"/>
    <w:rsid w:val="001A14D5"/>
    <w:rsid w:val="001A23EE"/>
    <w:rsid w:val="001A41E7"/>
    <w:rsid w:val="001B573D"/>
    <w:rsid w:val="001C5809"/>
    <w:rsid w:val="001D7AC1"/>
    <w:rsid w:val="001E541B"/>
    <w:rsid w:val="001F1D43"/>
    <w:rsid w:val="001F1FCF"/>
    <w:rsid w:val="001F299C"/>
    <w:rsid w:val="001F73E7"/>
    <w:rsid w:val="001F7FE2"/>
    <w:rsid w:val="00201121"/>
    <w:rsid w:val="00205226"/>
    <w:rsid w:val="00211F96"/>
    <w:rsid w:val="002137A0"/>
    <w:rsid w:val="00215949"/>
    <w:rsid w:val="002176E8"/>
    <w:rsid w:val="00224DC1"/>
    <w:rsid w:val="0022642D"/>
    <w:rsid w:val="00233C98"/>
    <w:rsid w:val="0023563B"/>
    <w:rsid w:val="00241800"/>
    <w:rsid w:val="0024238A"/>
    <w:rsid w:val="002512C8"/>
    <w:rsid w:val="00251FEC"/>
    <w:rsid w:val="002707F8"/>
    <w:rsid w:val="0027197D"/>
    <w:rsid w:val="00297A32"/>
    <w:rsid w:val="002A46ED"/>
    <w:rsid w:val="002A568F"/>
    <w:rsid w:val="002B18FD"/>
    <w:rsid w:val="002E1874"/>
    <w:rsid w:val="002E3750"/>
    <w:rsid w:val="002E6ABE"/>
    <w:rsid w:val="002F1720"/>
    <w:rsid w:val="00305754"/>
    <w:rsid w:val="0030593C"/>
    <w:rsid w:val="0030607A"/>
    <w:rsid w:val="003067A0"/>
    <w:rsid w:val="00307E03"/>
    <w:rsid w:val="003105FE"/>
    <w:rsid w:val="00333D36"/>
    <w:rsid w:val="00333FF2"/>
    <w:rsid w:val="003370B5"/>
    <w:rsid w:val="003371FF"/>
    <w:rsid w:val="0034495B"/>
    <w:rsid w:val="00353B59"/>
    <w:rsid w:val="003564D7"/>
    <w:rsid w:val="00356538"/>
    <w:rsid w:val="00365928"/>
    <w:rsid w:val="00373263"/>
    <w:rsid w:val="00383893"/>
    <w:rsid w:val="00391046"/>
    <w:rsid w:val="003970F2"/>
    <w:rsid w:val="00397D22"/>
    <w:rsid w:val="003A146C"/>
    <w:rsid w:val="003B7A99"/>
    <w:rsid w:val="003C568A"/>
    <w:rsid w:val="003D17EF"/>
    <w:rsid w:val="003D7547"/>
    <w:rsid w:val="003E0057"/>
    <w:rsid w:val="003E261F"/>
    <w:rsid w:val="003F0E97"/>
    <w:rsid w:val="003F794E"/>
    <w:rsid w:val="003F7BDE"/>
    <w:rsid w:val="00402D4C"/>
    <w:rsid w:val="004168B9"/>
    <w:rsid w:val="00417791"/>
    <w:rsid w:val="00421103"/>
    <w:rsid w:val="00432FFA"/>
    <w:rsid w:val="0043561A"/>
    <w:rsid w:val="004410C8"/>
    <w:rsid w:val="004422C2"/>
    <w:rsid w:val="004515E2"/>
    <w:rsid w:val="004518D4"/>
    <w:rsid w:val="004576F4"/>
    <w:rsid w:val="00457E90"/>
    <w:rsid w:val="004655D7"/>
    <w:rsid w:val="004839EF"/>
    <w:rsid w:val="00486AF4"/>
    <w:rsid w:val="004A1897"/>
    <w:rsid w:val="004A1AA0"/>
    <w:rsid w:val="004A4DF3"/>
    <w:rsid w:val="004A611E"/>
    <w:rsid w:val="004C0A02"/>
    <w:rsid w:val="004C0F9E"/>
    <w:rsid w:val="004C3766"/>
    <w:rsid w:val="004C78B3"/>
    <w:rsid w:val="004E20EE"/>
    <w:rsid w:val="004F1FEA"/>
    <w:rsid w:val="004F288C"/>
    <w:rsid w:val="00501DC4"/>
    <w:rsid w:val="00502270"/>
    <w:rsid w:val="00506F62"/>
    <w:rsid w:val="0050741D"/>
    <w:rsid w:val="0051725F"/>
    <w:rsid w:val="00523157"/>
    <w:rsid w:val="0052416F"/>
    <w:rsid w:val="00530069"/>
    <w:rsid w:val="00530146"/>
    <w:rsid w:val="005323E3"/>
    <w:rsid w:val="00534645"/>
    <w:rsid w:val="00537DC7"/>
    <w:rsid w:val="005406AA"/>
    <w:rsid w:val="00541172"/>
    <w:rsid w:val="0054167E"/>
    <w:rsid w:val="00542237"/>
    <w:rsid w:val="005439E4"/>
    <w:rsid w:val="0054573B"/>
    <w:rsid w:val="00545D14"/>
    <w:rsid w:val="00551CA6"/>
    <w:rsid w:val="005658B2"/>
    <w:rsid w:val="005677D6"/>
    <w:rsid w:val="00572CD7"/>
    <w:rsid w:val="00581E31"/>
    <w:rsid w:val="00584B16"/>
    <w:rsid w:val="00586465"/>
    <w:rsid w:val="00586BCB"/>
    <w:rsid w:val="00596656"/>
    <w:rsid w:val="00597663"/>
    <w:rsid w:val="005A1FE5"/>
    <w:rsid w:val="005B2708"/>
    <w:rsid w:val="005C1CBA"/>
    <w:rsid w:val="005C3F5E"/>
    <w:rsid w:val="005D19EF"/>
    <w:rsid w:val="005D3119"/>
    <w:rsid w:val="005D3327"/>
    <w:rsid w:val="005E61FD"/>
    <w:rsid w:val="005E666E"/>
    <w:rsid w:val="005F4304"/>
    <w:rsid w:val="00600DF4"/>
    <w:rsid w:val="00602435"/>
    <w:rsid w:val="006106FE"/>
    <w:rsid w:val="00611A65"/>
    <w:rsid w:val="006147C9"/>
    <w:rsid w:val="00616148"/>
    <w:rsid w:val="006175F6"/>
    <w:rsid w:val="00622305"/>
    <w:rsid w:val="006326B8"/>
    <w:rsid w:val="00646792"/>
    <w:rsid w:val="00650076"/>
    <w:rsid w:val="00652EB8"/>
    <w:rsid w:val="006546A0"/>
    <w:rsid w:val="00654E9C"/>
    <w:rsid w:val="006606D5"/>
    <w:rsid w:val="0066783E"/>
    <w:rsid w:val="00675ADA"/>
    <w:rsid w:val="0067691A"/>
    <w:rsid w:val="00684B71"/>
    <w:rsid w:val="00687A6B"/>
    <w:rsid w:val="00693FF0"/>
    <w:rsid w:val="00696107"/>
    <w:rsid w:val="006A0ADD"/>
    <w:rsid w:val="006A1339"/>
    <w:rsid w:val="006B1A23"/>
    <w:rsid w:val="006B50B9"/>
    <w:rsid w:val="006B6059"/>
    <w:rsid w:val="006B6CB4"/>
    <w:rsid w:val="006D23BB"/>
    <w:rsid w:val="006E7482"/>
    <w:rsid w:val="00700AB9"/>
    <w:rsid w:val="00712595"/>
    <w:rsid w:val="00713657"/>
    <w:rsid w:val="00731D99"/>
    <w:rsid w:val="00752B32"/>
    <w:rsid w:val="00756975"/>
    <w:rsid w:val="00763E82"/>
    <w:rsid w:val="00765311"/>
    <w:rsid w:val="007753A2"/>
    <w:rsid w:val="00777C85"/>
    <w:rsid w:val="00780DF7"/>
    <w:rsid w:val="007827FB"/>
    <w:rsid w:val="00782A1C"/>
    <w:rsid w:val="007A03DE"/>
    <w:rsid w:val="007A1281"/>
    <w:rsid w:val="007A1E1F"/>
    <w:rsid w:val="007B6DE6"/>
    <w:rsid w:val="007C31A2"/>
    <w:rsid w:val="007C5AD8"/>
    <w:rsid w:val="007C65B6"/>
    <w:rsid w:val="007D4E6D"/>
    <w:rsid w:val="007E51C4"/>
    <w:rsid w:val="007E53FC"/>
    <w:rsid w:val="007F6633"/>
    <w:rsid w:val="007F781D"/>
    <w:rsid w:val="00807F90"/>
    <w:rsid w:val="00810384"/>
    <w:rsid w:val="008114A7"/>
    <w:rsid w:val="008136B9"/>
    <w:rsid w:val="00817107"/>
    <w:rsid w:val="00817BD4"/>
    <w:rsid w:val="008224AF"/>
    <w:rsid w:val="008224E5"/>
    <w:rsid w:val="00833B70"/>
    <w:rsid w:val="00834A31"/>
    <w:rsid w:val="00834A55"/>
    <w:rsid w:val="00866AAF"/>
    <w:rsid w:val="00872826"/>
    <w:rsid w:val="00874387"/>
    <w:rsid w:val="008803FB"/>
    <w:rsid w:val="00880917"/>
    <w:rsid w:val="00881AF8"/>
    <w:rsid w:val="008837AA"/>
    <w:rsid w:val="00887246"/>
    <w:rsid w:val="00895E2F"/>
    <w:rsid w:val="008A1345"/>
    <w:rsid w:val="008B1308"/>
    <w:rsid w:val="008C169E"/>
    <w:rsid w:val="008C54CA"/>
    <w:rsid w:val="008C6EAD"/>
    <w:rsid w:val="008E2823"/>
    <w:rsid w:val="008E33E1"/>
    <w:rsid w:val="008E3C1D"/>
    <w:rsid w:val="008E6187"/>
    <w:rsid w:val="0090752D"/>
    <w:rsid w:val="00907D29"/>
    <w:rsid w:val="00913B46"/>
    <w:rsid w:val="0091525B"/>
    <w:rsid w:val="009168D8"/>
    <w:rsid w:val="00921F1F"/>
    <w:rsid w:val="00925C03"/>
    <w:rsid w:val="00932F1D"/>
    <w:rsid w:val="009376F1"/>
    <w:rsid w:val="00952F7E"/>
    <w:rsid w:val="009664E0"/>
    <w:rsid w:val="0097020A"/>
    <w:rsid w:val="00974021"/>
    <w:rsid w:val="00985913"/>
    <w:rsid w:val="00987219"/>
    <w:rsid w:val="00987229"/>
    <w:rsid w:val="009960BA"/>
    <w:rsid w:val="009A03C9"/>
    <w:rsid w:val="009A0840"/>
    <w:rsid w:val="009B59D9"/>
    <w:rsid w:val="009D03FB"/>
    <w:rsid w:val="009D0961"/>
    <w:rsid w:val="009D5B2F"/>
    <w:rsid w:val="009D741B"/>
    <w:rsid w:val="009E52BB"/>
    <w:rsid w:val="009E6E4A"/>
    <w:rsid w:val="009F281F"/>
    <w:rsid w:val="009F6946"/>
    <w:rsid w:val="00A1049C"/>
    <w:rsid w:val="00A13BBB"/>
    <w:rsid w:val="00A16C0F"/>
    <w:rsid w:val="00A4758A"/>
    <w:rsid w:val="00A502D6"/>
    <w:rsid w:val="00A54412"/>
    <w:rsid w:val="00A55305"/>
    <w:rsid w:val="00A61CC6"/>
    <w:rsid w:val="00A96629"/>
    <w:rsid w:val="00AA31AA"/>
    <w:rsid w:val="00AB1627"/>
    <w:rsid w:val="00AB24A1"/>
    <w:rsid w:val="00AC24FB"/>
    <w:rsid w:val="00AC69E9"/>
    <w:rsid w:val="00AD1BA3"/>
    <w:rsid w:val="00AD3521"/>
    <w:rsid w:val="00AD5B60"/>
    <w:rsid w:val="00AE1A41"/>
    <w:rsid w:val="00AE2557"/>
    <w:rsid w:val="00AE286C"/>
    <w:rsid w:val="00AE6955"/>
    <w:rsid w:val="00AE7792"/>
    <w:rsid w:val="00AF2FC9"/>
    <w:rsid w:val="00B03AB5"/>
    <w:rsid w:val="00B04A8C"/>
    <w:rsid w:val="00B05956"/>
    <w:rsid w:val="00B060B4"/>
    <w:rsid w:val="00B10780"/>
    <w:rsid w:val="00B149B9"/>
    <w:rsid w:val="00B15B8C"/>
    <w:rsid w:val="00B17EAD"/>
    <w:rsid w:val="00B25AE9"/>
    <w:rsid w:val="00B341CC"/>
    <w:rsid w:val="00B34DA0"/>
    <w:rsid w:val="00B37218"/>
    <w:rsid w:val="00B53AC2"/>
    <w:rsid w:val="00B61B02"/>
    <w:rsid w:val="00B62EAB"/>
    <w:rsid w:val="00B65B31"/>
    <w:rsid w:val="00B66014"/>
    <w:rsid w:val="00B73237"/>
    <w:rsid w:val="00B766C7"/>
    <w:rsid w:val="00B77BEC"/>
    <w:rsid w:val="00B80B33"/>
    <w:rsid w:val="00B8344B"/>
    <w:rsid w:val="00B856E0"/>
    <w:rsid w:val="00B85E01"/>
    <w:rsid w:val="00B86857"/>
    <w:rsid w:val="00B92A1C"/>
    <w:rsid w:val="00B95053"/>
    <w:rsid w:val="00BA043B"/>
    <w:rsid w:val="00BB008E"/>
    <w:rsid w:val="00BB290B"/>
    <w:rsid w:val="00BB508E"/>
    <w:rsid w:val="00BD3E3A"/>
    <w:rsid w:val="00BD4F37"/>
    <w:rsid w:val="00BE26B6"/>
    <w:rsid w:val="00BE5E95"/>
    <w:rsid w:val="00BF08A6"/>
    <w:rsid w:val="00BF12D5"/>
    <w:rsid w:val="00BF5422"/>
    <w:rsid w:val="00BF582C"/>
    <w:rsid w:val="00C078B4"/>
    <w:rsid w:val="00C10954"/>
    <w:rsid w:val="00C10ABB"/>
    <w:rsid w:val="00C136F3"/>
    <w:rsid w:val="00C168E0"/>
    <w:rsid w:val="00C21D67"/>
    <w:rsid w:val="00C31061"/>
    <w:rsid w:val="00C60BAF"/>
    <w:rsid w:val="00C64E26"/>
    <w:rsid w:val="00C676B0"/>
    <w:rsid w:val="00C67B89"/>
    <w:rsid w:val="00C70D10"/>
    <w:rsid w:val="00C77317"/>
    <w:rsid w:val="00C77D7D"/>
    <w:rsid w:val="00C82E17"/>
    <w:rsid w:val="00C90FF6"/>
    <w:rsid w:val="00C911B6"/>
    <w:rsid w:val="00C944F0"/>
    <w:rsid w:val="00CA21DA"/>
    <w:rsid w:val="00CA71B1"/>
    <w:rsid w:val="00CB28CA"/>
    <w:rsid w:val="00CC1E39"/>
    <w:rsid w:val="00CC3092"/>
    <w:rsid w:val="00CD1C9E"/>
    <w:rsid w:val="00CE2CE2"/>
    <w:rsid w:val="00CE2D7F"/>
    <w:rsid w:val="00CE7784"/>
    <w:rsid w:val="00D1064F"/>
    <w:rsid w:val="00D12690"/>
    <w:rsid w:val="00D13165"/>
    <w:rsid w:val="00D1381A"/>
    <w:rsid w:val="00D2156D"/>
    <w:rsid w:val="00D3394A"/>
    <w:rsid w:val="00D4287D"/>
    <w:rsid w:val="00D47D03"/>
    <w:rsid w:val="00D52D0C"/>
    <w:rsid w:val="00D5473E"/>
    <w:rsid w:val="00D55110"/>
    <w:rsid w:val="00D5522E"/>
    <w:rsid w:val="00D553F7"/>
    <w:rsid w:val="00D563CB"/>
    <w:rsid w:val="00D62D24"/>
    <w:rsid w:val="00D656CF"/>
    <w:rsid w:val="00D72158"/>
    <w:rsid w:val="00D72E4B"/>
    <w:rsid w:val="00D75D86"/>
    <w:rsid w:val="00D8064E"/>
    <w:rsid w:val="00D81177"/>
    <w:rsid w:val="00D84CCB"/>
    <w:rsid w:val="00D96222"/>
    <w:rsid w:val="00D97240"/>
    <w:rsid w:val="00D97428"/>
    <w:rsid w:val="00DD02BD"/>
    <w:rsid w:val="00DD10CE"/>
    <w:rsid w:val="00DD43CC"/>
    <w:rsid w:val="00DF292E"/>
    <w:rsid w:val="00E00F92"/>
    <w:rsid w:val="00E01A6D"/>
    <w:rsid w:val="00E12201"/>
    <w:rsid w:val="00E14535"/>
    <w:rsid w:val="00E160AF"/>
    <w:rsid w:val="00E16D28"/>
    <w:rsid w:val="00E2193E"/>
    <w:rsid w:val="00E21F44"/>
    <w:rsid w:val="00E22ABF"/>
    <w:rsid w:val="00E23E21"/>
    <w:rsid w:val="00E26883"/>
    <w:rsid w:val="00E31B19"/>
    <w:rsid w:val="00E36B28"/>
    <w:rsid w:val="00E6251F"/>
    <w:rsid w:val="00E6446E"/>
    <w:rsid w:val="00E65E71"/>
    <w:rsid w:val="00E700EC"/>
    <w:rsid w:val="00E73F7B"/>
    <w:rsid w:val="00EA7AD6"/>
    <w:rsid w:val="00EA7E49"/>
    <w:rsid w:val="00EC5381"/>
    <w:rsid w:val="00EF018F"/>
    <w:rsid w:val="00EF08C7"/>
    <w:rsid w:val="00EF6719"/>
    <w:rsid w:val="00F053B1"/>
    <w:rsid w:val="00F17CFA"/>
    <w:rsid w:val="00F3785E"/>
    <w:rsid w:val="00F40FD6"/>
    <w:rsid w:val="00F41965"/>
    <w:rsid w:val="00F46388"/>
    <w:rsid w:val="00F558CC"/>
    <w:rsid w:val="00F6186A"/>
    <w:rsid w:val="00F6409C"/>
    <w:rsid w:val="00F74F6B"/>
    <w:rsid w:val="00F77DD8"/>
    <w:rsid w:val="00F80671"/>
    <w:rsid w:val="00F823B4"/>
    <w:rsid w:val="00F849E6"/>
    <w:rsid w:val="00F863ED"/>
    <w:rsid w:val="00F86659"/>
    <w:rsid w:val="00F9001B"/>
    <w:rsid w:val="00F963DB"/>
    <w:rsid w:val="00FA52D2"/>
    <w:rsid w:val="00FB0035"/>
    <w:rsid w:val="00FC0A7C"/>
    <w:rsid w:val="00FC33A4"/>
    <w:rsid w:val="00FD0C5A"/>
    <w:rsid w:val="00FE3DDB"/>
    <w:rsid w:val="00FE6A6C"/>
    <w:rsid w:val="00FF10C3"/>
    <w:rsid w:val="00FF7B7E"/>
    <w:rsid w:val="01BF35E0"/>
    <w:rsid w:val="045D72C7"/>
    <w:rsid w:val="04682B05"/>
    <w:rsid w:val="04860E14"/>
    <w:rsid w:val="061F2A86"/>
    <w:rsid w:val="06220888"/>
    <w:rsid w:val="085207C5"/>
    <w:rsid w:val="0F6C4862"/>
    <w:rsid w:val="10E067F0"/>
    <w:rsid w:val="116F149C"/>
    <w:rsid w:val="11C04EF9"/>
    <w:rsid w:val="122356AC"/>
    <w:rsid w:val="126B51A1"/>
    <w:rsid w:val="15532C0C"/>
    <w:rsid w:val="16774FC1"/>
    <w:rsid w:val="16CB67C4"/>
    <w:rsid w:val="182D42C1"/>
    <w:rsid w:val="1A200662"/>
    <w:rsid w:val="1AC07A00"/>
    <w:rsid w:val="1C533032"/>
    <w:rsid w:val="1F126AC2"/>
    <w:rsid w:val="1FB9550E"/>
    <w:rsid w:val="20AD2C5F"/>
    <w:rsid w:val="217F141A"/>
    <w:rsid w:val="23A203FB"/>
    <w:rsid w:val="268B1C33"/>
    <w:rsid w:val="269E759F"/>
    <w:rsid w:val="281D44F4"/>
    <w:rsid w:val="29261CCD"/>
    <w:rsid w:val="299E5C8F"/>
    <w:rsid w:val="29C64086"/>
    <w:rsid w:val="2C3B112F"/>
    <w:rsid w:val="2D6B5B76"/>
    <w:rsid w:val="2DE906FD"/>
    <w:rsid w:val="301D639C"/>
    <w:rsid w:val="30230CE6"/>
    <w:rsid w:val="316311C9"/>
    <w:rsid w:val="31A50EFE"/>
    <w:rsid w:val="32BD0DAD"/>
    <w:rsid w:val="39A97500"/>
    <w:rsid w:val="39D22ACC"/>
    <w:rsid w:val="3A0F447C"/>
    <w:rsid w:val="3A2F2590"/>
    <w:rsid w:val="3B516536"/>
    <w:rsid w:val="3C495D6F"/>
    <w:rsid w:val="3F0F0BE2"/>
    <w:rsid w:val="3FDA6513"/>
    <w:rsid w:val="42440BA3"/>
    <w:rsid w:val="429C0C25"/>
    <w:rsid w:val="476A2E5A"/>
    <w:rsid w:val="47992182"/>
    <w:rsid w:val="4BE72874"/>
    <w:rsid w:val="4D460F7F"/>
    <w:rsid w:val="4E2215E3"/>
    <w:rsid w:val="4E2749EA"/>
    <w:rsid w:val="4EE00F2E"/>
    <w:rsid w:val="4FE102A3"/>
    <w:rsid w:val="53575126"/>
    <w:rsid w:val="53771355"/>
    <w:rsid w:val="55536657"/>
    <w:rsid w:val="55906C93"/>
    <w:rsid w:val="55A659F2"/>
    <w:rsid w:val="564978FD"/>
    <w:rsid w:val="576948B0"/>
    <w:rsid w:val="58090348"/>
    <w:rsid w:val="589F15D1"/>
    <w:rsid w:val="598004E4"/>
    <w:rsid w:val="5A6062CB"/>
    <w:rsid w:val="5AB4278E"/>
    <w:rsid w:val="5B9D7596"/>
    <w:rsid w:val="5BB20354"/>
    <w:rsid w:val="5CE97CE3"/>
    <w:rsid w:val="5DB67EF3"/>
    <w:rsid w:val="5E076966"/>
    <w:rsid w:val="5F172606"/>
    <w:rsid w:val="603C28E6"/>
    <w:rsid w:val="61BD35D1"/>
    <w:rsid w:val="64E57B6C"/>
    <w:rsid w:val="65393A14"/>
    <w:rsid w:val="65C1295D"/>
    <w:rsid w:val="691C5356"/>
    <w:rsid w:val="697B6EF0"/>
    <w:rsid w:val="6C3E3165"/>
    <w:rsid w:val="6CA00F4F"/>
    <w:rsid w:val="6D0B038C"/>
    <w:rsid w:val="71285068"/>
    <w:rsid w:val="71432349"/>
    <w:rsid w:val="723B7E0F"/>
    <w:rsid w:val="77545CF4"/>
    <w:rsid w:val="78CC306B"/>
    <w:rsid w:val="7B1012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3"/>
    <w:basedOn w:val="1"/>
    <w:link w:val="13"/>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cs="Times New Roman" w:asciiTheme="minorHAnsi" w:hAnsiTheme="minorHAnsi" w:eastAsiaTheme="minorEastAsia"/>
      <w:kern w:val="0"/>
      <w:sz w:val="24"/>
      <w:szCs w:val="24"/>
    </w:rPr>
  </w:style>
  <w:style w:type="paragraph" w:customStyle="1" w:styleId="8">
    <w:name w:val="引文目录1"/>
    <w:next w:val="1"/>
    <w:qFormat/>
    <w:uiPriority w:val="0"/>
    <w:pPr>
      <w:widowControl w:val="0"/>
      <w:ind w:left="420" w:leftChars="200"/>
      <w:jc w:val="both"/>
    </w:pPr>
    <w:rPr>
      <w:rFonts w:ascii="Calibri" w:hAnsi="Calibri" w:eastAsia="宋体" w:cs="Times New Roman"/>
      <w:kern w:val="2"/>
      <w:sz w:val="21"/>
      <w:szCs w:val="24"/>
      <w:lang w:val="en-US" w:eastAsia="zh-CN" w:bidi="ar-SA"/>
    </w:rPr>
  </w:style>
  <w:style w:type="paragraph" w:customStyle="1" w:styleId="9">
    <w:name w:val="列出段落1"/>
    <w:basedOn w:val="1"/>
    <w:qFormat/>
    <w:uiPriority w:val="34"/>
    <w:pPr>
      <w:ind w:firstLine="420" w:firstLineChars="200"/>
    </w:p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paragraph" w:customStyle="1" w:styleId="12">
    <w:name w:val="无间隔1"/>
    <w:qFormat/>
    <w:uiPriority w:val="1"/>
    <w:pPr>
      <w:adjustRightInd w:val="0"/>
      <w:snapToGrid w:val="0"/>
      <w:spacing w:line="360" w:lineRule="auto"/>
      <w:ind w:firstLine="200" w:firstLineChars="200"/>
    </w:pPr>
    <w:rPr>
      <w:rFonts w:ascii="Tahoma" w:hAnsi="Tahoma" w:eastAsia="仿宋_GB2312" w:cs="Times New Roman"/>
      <w:sz w:val="32"/>
      <w:szCs w:val="22"/>
      <w:lang w:val="en-US" w:eastAsia="zh-CN" w:bidi="ar-SA"/>
    </w:rPr>
  </w:style>
  <w:style w:type="character" w:customStyle="1" w:styleId="13">
    <w:name w:val="标题 3 字符"/>
    <w:basedOn w:val="7"/>
    <w:link w:val="2"/>
    <w:uiPriority w:val="9"/>
    <w:rPr>
      <w:rFonts w:ascii="宋体" w:hAnsi="宋体" w:cs="宋体"/>
      <w:b/>
      <w:bCs/>
      <w:sz w:val="27"/>
      <w:szCs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10</Pages>
  <Words>3453</Words>
  <Characters>3838</Characters>
  <Lines>30</Lines>
  <Paragraphs>8</Paragraphs>
  <TotalTime>19</TotalTime>
  <ScaleCrop>false</ScaleCrop>
  <LinksUpToDate>false</LinksUpToDate>
  <CharactersWithSpaces>3949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2024-07-07T00:01:00Z</dcterms:created>
  <dc:creator>微软用户</dc:creator>
  <cp:lastModifiedBy>Babycherie</cp:lastModifiedBy>
  <cp:lastPrinted>2024-08-22T07:57:00Z</cp:lastPrinted>
  <dcterms:modified xsi:type="dcterms:W3CDTF">2024-08-29T09:28:36Z</dcterms:modified>
  <dc:title>怀化职业技术学院</dc:title>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0FCCF6FB17B9433B8333866237879879_13</vt:lpwstr>
  </property>
</Properties>
</file>